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Times New Roman" w:hAnsi="Times New Roman"/>
          <w:sz w:val="44"/>
          <w:szCs w:val="44"/>
        </w:rPr>
      </w:pPr>
      <w:r>
        <w:rPr>
          <w:rFonts w:ascii="Times New Roman" w:hAnsi="Times New Roman"/>
          <w:sz w:val="44"/>
          <w:szCs w:val="44"/>
        </w:rPr>
        <w:t xml:space="preserve"> </w:t>
      </w:r>
    </w:p>
    <w:p>
      <w:pPr>
        <w:spacing w:line="600" w:lineRule="exact"/>
        <w:rPr>
          <w:rFonts w:eastAsia="黑体"/>
          <w:kern w:val="0"/>
          <w:sz w:val="32"/>
          <w:szCs w:val="32"/>
        </w:rPr>
      </w:pPr>
    </w:p>
    <w:p>
      <w:pPr>
        <w:ind w:right="1053" w:rightChars="376"/>
        <w:jc w:val="center"/>
        <w:outlineLvl w:val="0"/>
        <w:rPr>
          <w:rFonts w:hint="eastAsia" w:eastAsia="方正小标宋_GBK"/>
          <w:sz w:val="40"/>
          <w:szCs w:val="40"/>
          <w:lang w:eastAsia="zh-CN"/>
        </w:rPr>
      </w:pPr>
      <w:r>
        <w:rPr>
          <w:rFonts w:hint="eastAsia" w:eastAsia="方正小标宋_GBK"/>
          <w:sz w:val="40"/>
          <w:szCs w:val="40"/>
          <w:lang w:val="en-US" w:eastAsia="zh-CN"/>
        </w:rPr>
        <w:t>2022</w:t>
      </w:r>
      <w:r>
        <w:rPr>
          <w:rFonts w:eastAsia="方正小标宋_GBK"/>
          <w:sz w:val="40"/>
          <w:szCs w:val="40"/>
        </w:rPr>
        <w:t>年度</w:t>
      </w:r>
      <w:r>
        <w:rPr>
          <w:rFonts w:hint="eastAsia" w:eastAsia="方正小标宋_GBK"/>
          <w:sz w:val="40"/>
          <w:szCs w:val="40"/>
          <w:lang w:eastAsia="zh-CN"/>
        </w:rPr>
        <w:t>长沙市开福区妇幼保健计划生育</w:t>
      </w:r>
    </w:p>
    <w:p>
      <w:pPr>
        <w:ind w:right="1053" w:rightChars="376"/>
        <w:jc w:val="center"/>
        <w:outlineLvl w:val="0"/>
        <w:rPr>
          <w:rFonts w:eastAsia="方正小标宋_GBK"/>
          <w:sz w:val="40"/>
          <w:szCs w:val="40"/>
        </w:rPr>
      </w:pPr>
      <w:r>
        <w:rPr>
          <w:rFonts w:hint="eastAsia" w:eastAsia="方正小标宋_GBK"/>
          <w:sz w:val="40"/>
          <w:szCs w:val="40"/>
          <w:lang w:eastAsia="zh-CN"/>
        </w:rPr>
        <w:t>服务中心</w:t>
      </w:r>
      <w:r>
        <w:rPr>
          <w:rFonts w:eastAsia="方正小标宋_GBK"/>
          <w:sz w:val="40"/>
          <w:szCs w:val="40"/>
        </w:rPr>
        <w:t>整体支出绩效自评报告</w:t>
      </w:r>
    </w:p>
    <w:p>
      <w:pPr>
        <w:jc w:val="center"/>
        <w:rPr>
          <w:rFonts w:eastAsia="黑体"/>
          <w:sz w:val="36"/>
          <w:szCs w:val="36"/>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p>
    <w:p>
      <w:pPr>
        <w:pStyle w:val="2"/>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（一）单位基本情况</w:t>
      </w:r>
    </w:p>
    <w:p>
      <w:pPr>
        <w:ind w:firstLine="560"/>
        <w:rPr>
          <w:rFonts w:ascii="仿宋" w:hAnsi="仿宋" w:eastAsia="仿宋"/>
          <w:sz w:val="32"/>
          <w:szCs w:val="32"/>
        </w:rPr>
      </w:pPr>
      <w:r>
        <w:rPr>
          <w:rFonts w:hint="eastAsia" w:ascii="仿宋" w:hAnsi="仿宋" w:eastAsia="仿宋"/>
          <w:sz w:val="32"/>
          <w:szCs w:val="32"/>
        </w:rPr>
        <w:t>1．主要职能。</w:t>
      </w:r>
    </w:p>
    <w:p>
      <w:pPr>
        <w:ind w:firstLine="560"/>
        <w:rPr>
          <w:rFonts w:ascii="仿宋" w:hAnsi="仿宋" w:eastAsia="仿宋"/>
          <w:sz w:val="32"/>
          <w:szCs w:val="32"/>
        </w:rPr>
      </w:pPr>
      <w:r>
        <w:rPr>
          <w:rFonts w:hint="eastAsia" w:ascii="仿宋" w:hAnsi="仿宋" w:eastAsia="仿宋"/>
          <w:sz w:val="32"/>
          <w:szCs w:val="32"/>
          <w:lang w:eastAsia="zh-CN"/>
        </w:rPr>
        <w:t>长沙市</w:t>
      </w:r>
      <w:r>
        <w:rPr>
          <w:rFonts w:hint="eastAsia" w:ascii="仿宋" w:hAnsi="仿宋" w:eastAsia="仿宋"/>
          <w:sz w:val="32"/>
          <w:szCs w:val="32"/>
        </w:rPr>
        <w:t>开福区妇幼保健计划生育服务中心主要负责为本辖区内妇女儿童提供围产保健、妇女保健、儿童保健等妇幼保健服务和妇女儿童常见病防治等，承担计划生育宣传教育、技术服务、优生指导、信息咨询、随访服务、生殖保健、人员培训等任务；开展孕前优生健康检查和出生缺陷综合防治等工作。受卫健行政部门委托承担辖区内妇幼保健计划生育技术服务业务管理培训和技术支持等工作。</w:t>
      </w:r>
    </w:p>
    <w:p>
      <w:pPr>
        <w:ind w:firstLine="560"/>
        <w:rPr>
          <w:rFonts w:ascii="仿宋" w:hAnsi="仿宋" w:eastAsia="仿宋"/>
          <w:sz w:val="32"/>
          <w:szCs w:val="32"/>
        </w:rPr>
      </w:pPr>
      <w:r>
        <w:rPr>
          <w:rFonts w:hint="eastAsia" w:ascii="仿宋" w:hAnsi="仿宋" w:eastAsia="仿宋"/>
          <w:sz w:val="32"/>
          <w:szCs w:val="32"/>
        </w:rPr>
        <w:t>2．机构人员情况。</w:t>
      </w:r>
    </w:p>
    <w:p>
      <w:pPr>
        <w:ind w:firstLine="560"/>
        <w:rPr>
          <w:rFonts w:ascii="仿宋" w:hAnsi="仿宋" w:eastAsia="仿宋"/>
          <w:sz w:val="32"/>
          <w:szCs w:val="32"/>
        </w:rPr>
      </w:pPr>
      <w:r>
        <w:rPr>
          <w:rFonts w:hint="eastAsia" w:ascii="仿宋" w:hAnsi="仿宋" w:eastAsia="仿宋"/>
          <w:sz w:val="32"/>
          <w:szCs w:val="32"/>
        </w:rPr>
        <w:t>（1）部门设置</w:t>
      </w:r>
      <w:r>
        <w:rPr>
          <w:rFonts w:hint="eastAsia" w:ascii="仿宋" w:hAnsi="仿宋" w:eastAsia="仿宋"/>
          <w:b/>
          <w:sz w:val="32"/>
          <w:szCs w:val="32"/>
        </w:rPr>
        <w:t>:</w:t>
      </w:r>
      <w:r>
        <w:rPr>
          <w:rFonts w:hint="eastAsia" w:ascii="仿宋" w:hAnsi="仿宋" w:eastAsia="仿宋"/>
          <w:sz w:val="32"/>
          <w:szCs w:val="32"/>
        </w:rPr>
        <w:t xml:space="preserve">本单位为副科级全额拨款公益一类事业单位，属开福区卫健局二级机构。单位内设办公室、妇女保健科、儿童保健科、临床检验科、信息科、财务后勤科六个科室。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（2）人员总数情况:本部门编制数27人，在职人数</w:t>
      </w:r>
      <w:r>
        <w:rPr>
          <w:rFonts w:hint="eastAsia" w:ascii="仿宋" w:hAnsi="仿宋" w:eastAsia="仿宋"/>
          <w:sz w:val="32"/>
          <w:szCs w:val="32"/>
          <w:lang w:val="en-US" w:eastAsia="zh-CN"/>
        </w:rPr>
        <w:t>40</w:t>
      </w:r>
      <w:r>
        <w:rPr>
          <w:rFonts w:hint="eastAsia" w:ascii="仿宋" w:hAnsi="仿宋" w:eastAsia="仿宋"/>
          <w:sz w:val="32"/>
          <w:szCs w:val="32"/>
        </w:rPr>
        <w:t>人，其中：在岗人数</w:t>
      </w:r>
      <w:r>
        <w:rPr>
          <w:rFonts w:hint="eastAsia" w:ascii="仿宋" w:hAnsi="仿宋" w:eastAsia="仿宋"/>
          <w:sz w:val="32"/>
          <w:szCs w:val="32"/>
          <w:lang w:val="en-US" w:eastAsia="zh-CN"/>
        </w:rPr>
        <w:t>40</w:t>
      </w:r>
      <w:r>
        <w:rPr>
          <w:rFonts w:hint="eastAsia" w:ascii="仿宋" w:hAnsi="仿宋" w:eastAsia="仿宋"/>
          <w:sz w:val="32"/>
          <w:szCs w:val="32"/>
        </w:rPr>
        <w:t>人；编外长期聘用人员1</w:t>
      </w:r>
      <w:r>
        <w:rPr>
          <w:rFonts w:hint="eastAsia" w:ascii="仿宋" w:hAnsi="仿宋" w:eastAsia="仿宋"/>
          <w:sz w:val="32"/>
          <w:szCs w:val="32"/>
          <w:lang w:val="en-US" w:eastAsia="zh-CN"/>
        </w:rPr>
        <w:t>3</w:t>
      </w:r>
      <w:r>
        <w:rPr>
          <w:rFonts w:hint="eastAsia" w:ascii="仿宋" w:hAnsi="仿宋" w:eastAsia="仿宋"/>
          <w:sz w:val="32"/>
          <w:szCs w:val="32"/>
        </w:rPr>
        <w:t>人（包括年薪制聘用人员</w:t>
      </w:r>
      <w:r>
        <w:rPr>
          <w:rFonts w:hint="eastAsia" w:ascii="仿宋" w:hAnsi="仿宋" w:eastAsia="仿宋"/>
          <w:sz w:val="32"/>
          <w:szCs w:val="32"/>
          <w:lang w:val="en-US" w:eastAsia="zh-CN"/>
        </w:rPr>
        <w:t>5</w:t>
      </w:r>
      <w:r>
        <w:rPr>
          <w:rFonts w:hint="eastAsia" w:ascii="仿宋" w:hAnsi="仿宋" w:eastAsia="仿宋"/>
          <w:sz w:val="32"/>
          <w:szCs w:val="32"/>
        </w:rPr>
        <w:t>人）；离退休人数19人，其中</w:t>
      </w:r>
      <w:bookmarkStart w:id="0" w:name="_GoBack"/>
      <w:bookmarkEnd w:id="0"/>
      <w:r>
        <w:rPr>
          <w:rFonts w:hint="eastAsia" w:ascii="仿宋" w:hAnsi="仿宋" w:eastAsia="仿宋"/>
          <w:sz w:val="32"/>
          <w:szCs w:val="32"/>
        </w:rPr>
        <w:t>离休人员1人，退休人员18人。</w:t>
      </w:r>
    </w:p>
    <w:p>
      <w:pPr>
        <w:spacing w:line="600" w:lineRule="exact"/>
        <w:ind w:firstLine="643" w:firstLineChars="200"/>
        <w:rPr>
          <w:rFonts w:eastAsia="楷体_GB2312"/>
          <w:b/>
          <w:sz w:val="32"/>
          <w:szCs w:val="32"/>
        </w:rPr>
      </w:pPr>
      <w:r>
        <w:rPr>
          <w:rFonts w:eastAsia="楷体_GB2312"/>
          <w:b/>
          <w:sz w:val="32"/>
          <w:szCs w:val="32"/>
        </w:rPr>
        <w:t>（二）单位年度整体支出绩效目标，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widowControl/>
        <w:spacing w:line="580" w:lineRule="exact"/>
        <w:ind w:firstLine="640" w:firstLineChars="200"/>
        <w:rPr>
          <w:rFonts w:hint="eastAsia" w:ascii="仿宋_GB2312" w:hAnsi="宋体" w:cs="宋体"/>
          <w:sz w:val="32"/>
          <w:szCs w:val="32"/>
          <w:lang w:eastAsia="zh-CN"/>
        </w:rPr>
      </w:pPr>
      <w:r>
        <w:rPr>
          <w:rFonts w:hint="eastAsia" w:ascii="仿宋" w:hAnsi="仿宋" w:eastAsia="仿宋"/>
          <w:sz w:val="32"/>
          <w:szCs w:val="32"/>
        </w:rPr>
        <w:t>1．</w:t>
      </w:r>
      <w:r>
        <w:rPr>
          <w:rFonts w:hint="eastAsia" w:ascii="仿宋_GB2312" w:hAnsi="仿宋_GB2312" w:eastAsia="仿宋_GB2312" w:cs="仿宋_GB2312"/>
          <w:color w:val="000000"/>
          <w:kern w:val="0"/>
          <w:sz w:val="32"/>
          <w:szCs w:val="32"/>
        </w:rPr>
        <w:t>落实“长沙市母婴安全行动提升计划（2022-2025）”和妊娠风险筛查与评估、高危专案管理、危急重症救治、死亡个案报告和约谈通报五项核心制度，层层压实责任</w:t>
      </w:r>
      <w:r>
        <w:rPr>
          <w:rFonts w:hint="eastAsia" w:ascii="仿宋_GB2312" w:hAnsi="仿宋_GB2312" w:cs="仿宋_GB2312"/>
          <w:color w:val="000000"/>
          <w:kern w:val="0"/>
          <w:sz w:val="32"/>
          <w:szCs w:val="32"/>
          <w:lang w:eastAsia="zh-CN"/>
        </w:rPr>
        <w:t>，</w:t>
      </w:r>
      <w:r>
        <w:rPr>
          <w:rFonts w:hint="eastAsia" w:ascii="仿宋_GB2312" w:hAnsi="宋体" w:eastAsia="仿宋_GB2312" w:cs="宋体"/>
          <w:sz w:val="32"/>
          <w:szCs w:val="32"/>
        </w:rPr>
        <w:t>力争202</w:t>
      </w:r>
      <w:r>
        <w:rPr>
          <w:rFonts w:hint="eastAsia" w:ascii="仿宋_GB2312" w:hAnsi="宋体" w:cs="宋体"/>
          <w:sz w:val="32"/>
          <w:szCs w:val="32"/>
          <w:lang w:val="en-US" w:eastAsia="zh-CN"/>
        </w:rPr>
        <w:t>2</w:t>
      </w:r>
      <w:r>
        <w:rPr>
          <w:rFonts w:hint="eastAsia" w:ascii="仿宋_GB2312" w:hAnsi="宋体" w:eastAsia="仿宋_GB2312" w:cs="宋体"/>
          <w:sz w:val="32"/>
          <w:szCs w:val="32"/>
        </w:rPr>
        <w:t>年全区可避免孕产妇死亡率控制为0，</w:t>
      </w:r>
      <w:r>
        <w:rPr>
          <w:rFonts w:hint="eastAsia" w:ascii="仿宋_GB2312" w:hAnsi="宋体" w:cs="宋体"/>
          <w:sz w:val="32"/>
          <w:szCs w:val="32"/>
          <w:lang w:eastAsia="zh-CN"/>
        </w:rPr>
        <w:t>新生儿死亡率</w:t>
      </w:r>
      <w:r>
        <w:rPr>
          <w:rFonts w:hint="eastAsia" w:ascii="仿宋_GB2312" w:hAnsi="宋体" w:eastAsia="仿宋_GB2312" w:cs="宋体"/>
          <w:sz w:val="32"/>
          <w:szCs w:val="32"/>
        </w:rPr>
        <w:t>控制在较低水平</w:t>
      </w:r>
      <w:r>
        <w:rPr>
          <w:rFonts w:hint="eastAsia" w:ascii="仿宋_GB2312" w:hAnsi="宋体" w:cs="宋体"/>
          <w:sz w:val="32"/>
          <w:szCs w:val="32"/>
          <w:lang w:eastAsia="zh-CN"/>
        </w:rPr>
        <w:t>；</w:t>
      </w:r>
    </w:p>
    <w:p>
      <w:pPr>
        <w:widowControl/>
        <w:spacing w:line="580" w:lineRule="exact"/>
        <w:ind w:firstLine="640" w:firstLineChars="200"/>
        <w:rPr>
          <w:rFonts w:hint="eastAsia" w:ascii="仿宋_GB2312" w:hAnsi="仿宋_GB2312" w:cs="仿宋_GB2312"/>
          <w:color w:val="000000"/>
          <w:kern w:val="0"/>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_GB2312" w:hAnsi="仿宋_GB2312" w:eastAsia="仿宋_GB2312" w:cs="仿宋_GB2312"/>
          <w:color w:val="000000"/>
          <w:kern w:val="0"/>
          <w:sz w:val="32"/>
          <w:szCs w:val="32"/>
        </w:rPr>
        <w:t>全面落实农村适龄妇女和城镇低保适龄妇女“两癌”免费检查</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依托婚前医学检查、孕前优生健康检查、增补叶酸、孕产妇产前筛查、地中海贫血筛查、新生儿疾病筛查等项目，统筹开展覆盖孕前、孕期、产后等生育全程的出生缺陷三级干预服务，力争202</w:t>
      </w:r>
      <w:r>
        <w:rPr>
          <w:rFonts w:hint="eastAsia" w:ascii="仿宋_GB2312" w:hAnsi="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年严重致愚致残活产发生率较202</w:t>
      </w:r>
      <w:r>
        <w:rPr>
          <w:rFonts w:hint="eastAsia" w:ascii="仿宋_GB2312" w:hAnsi="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年度有所下降</w:t>
      </w:r>
      <w:r>
        <w:rPr>
          <w:rFonts w:hint="eastAsia" w:ascii="仿宋_GB2312" w:hAnsi="仿宋_GB2312" w:cs="仿宋_GB2312"/>
          <w:color w:val="000000"/>
          <w:kern w:val="0"/>
          <w:sz w:val="32"/>
          <w:szCs w:val="32"/>
          <w:lang w:eastAsia="zh-CN"/>
        </w:rPr>
        <w:t>；</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_GB2312" w:hAnsi="仿宋_GB2312" w:eastAsia="仿宋_GB2312" w:cs="仿宋_GB2312"/>
          <w:color w:val="000000"/>
          <w:kern w:val="0"/>
          <w:sz w:val="32"/>
          <w:szCs w:val="32"/>
        </w:rPr>
        <w:t>落实健康儿童行动提升计划，强化新生儿保健和高危儿管理。做好0-6岁儿童眼保健和视力检查工作，加强儿童视力监测预防。</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_GB2312" w:hAnsi="仿宋_GB2312" w:eastAsia="仿宋_GB2312" w:cs="仿宋_GB2312"/>
          <w:color w:val="000000"/>
          <w:kern w:val="0"/>
          <w:sz w:val="32"/>
          <w:szCs w:val="32"/>
        </w:rPr>
        <w:t>加强托幼机构卫生保健和婴幼儿养育照护专业指导</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规范实施预防艾滋病、梅毒和乙肝母婴传播、计划生育基本技术服务等妇幼重大公共卫生服务项目，促进妇幼公共服务均等可及。</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9"/>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spacing w:line="52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2022年度基本支出1210.27万元，较2021年增加116.38</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10.64</w:t>
      </w:r>
      <w:r>
        <w:rPr>
          <w:rFonts w:hint="eastAsia" w:ascii="仿宋" w:hAnsi="仿宋" w:eastAsia="仿宋"/>
          <w:sz w:val="32"/>
          <w:szCs w:val="32"/>
          <w:highlight w:val="none"/>
        </w:rPr>
        <w:t>%。</w:t>
      </w:r>
      <w:r>
        <w:rPr>
          <w:rFonts w:hint="eastAsia" w:ascii="仿宋" w:hAnsi="仿宋" w:eastAsia="仿宋"/>
          <w:sz w:val="32"/>
          <w:szCs w:val="32"/>
          <w:highlight w:val="none"/>
          <w:lang w:eastAsia="zh-CN"/>
        </w:rPr>
        <w:t>其中人员经费支出</w:t>
      </w:r>
      <w:r>
        <w:rPr>
          <w:rFonts w:hint="eastAsia" w:ascii="仿宋" w:hAnsi="仿宋" w:eastAsia="仿宋"/>
          <w:sz w:val="32"/>
          <w:szCs w:val="32"/>
          <w:highlight w:val="none"/>
          <w:lang w:val="en-US" w:eastAsia="zh-CN"/>
        </w:rPr>
        <w:t>1141.80万元，较上年增加7.49%；日常公用经费支出68.46万元，三公经费支出总额为6.8万元，均为公务用车运行维护费，2022年三公经费比2021年增加2.27万元，增长50.01%，主要原因为本单位的两辆救护车用于转运重点隔离人员，因此本年的公务用车运行维护费增加，导致三公经费整体较上年增长。</w:t>
      </w:r>
    </w:p>
    <w:p>
      <w:pPr>
        <w:spacing w:line="52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项目支出情况</w:t>
      </w:r>
    </w:p>
    <w:p>
      <w:pPr>
        <w:widowControl/>
        <w:numPr>
          <w:ilvl w:val="0"/>
          <w:numId w:val="1"/>
        </w:numPr>
        <w:spacing w:line="600" w:lineRule="exact"/>
        <w:ind w:firstLine="640" w:firstLineChars="200"/>
        <w:jc w:val="left"/>
        <w:rPr>
          <w:rFonts w:hint="eastAsia" w:ascii="仿宋" w:hAnsi="仿宋" w:eastAsia="仿宋" w:cs="Times New Roman"/>
          <w:kern w:val="2"/>
          <w:sz w:val="32"/>
          <w:szCs w:val="32"/>
          <w:lang w:val="en-US" w:eastAsia="zh-CN" w:bidi="ar-SA"/>
        </w:rPr>
      </w:pPr>
      <w:r>
        <w:rPr>
          <w:rFonts w:hint="eastAsia"/>
          <w:sz w:val="32"/>
          <w:szCs w:val="32"/>
        </w:rPr>
        <w:t>降消</w:t>
      </w:r>
      <w:r>
        <w:rPr>
          <w:rFonts w:hint="eastAsia"/>
          <w:sz w:val="32"/>
          <w:szCs w:val="32"/>
          <w:lang w:eastAsia="zh-CN"/>
        </w:rPr>
        <w:t>项目：</w:t>
      </w:r>
      <w:r>
        <w:rPr>
          <w:rFonts w:hint="eastAsia"/>
          <w:sz w:val="32"/>
          <w:szCs w:val="32"/>
        </w:rPr>
        <w:t>202</w:t>
      </w:r>
      <w:r>
        <w:rPr>
          <w:rFonts w:hint="eastAsia"/>
          <w:sz w:val="32"/>
          <w:szCs w:val="32"/>
          <w:lang w:val="en-US" w:eastAsia="zh-CN"/>
        </w:rPr>
        <w:t>2</w:t>
      </w:r>
      <w:r>
        <w:rPr>
          <w:rFonts w:hint="eastAsia"/>
          <w:sz w:val="32"/>
          <w:szCs w:val="32"/>
        </w:rPr>
        <w:t>年度降消经费</w:t>
      </w:r>
      <w:r>
        <w:rPr>
          <w:rFonts w:hint="eastAsia"/>
          <w:sz w:val="32"/>
          <w:szCs w:val="32"/>
          <w:lang w:eastAsia="zh-CN"/>
        </w:rPr>
        <w:t>全年预算</w:t>
      </w:r>
      <w:r>
        <w:rPr>
          <w:rFonts w:hint="eastAsia"/>
          <w:sz w:val="32"/>
          <w:szCs w:val="32"/>
          <w:lang w:val="en-US" w:eastAsia="zh-CN"/>
        </w:rPr>
        <w:t>8.39</w:t>
      </w:r>
      <w:r>
        <w:rPr>
          <w:rFonts w:hint="eastAsia"/>
          <w:sz w:val="32"/>
          <w:szCs w:val="32"/>
        </w:rPr>
        <w:t>万元，实际支出</w:t>
      </w:r>
      <w:r>
        <w:rPr>
          <w:rFonts w:hint="eastAsia"/>
          <w:sz w:val="32"/>
          <w:szCs w:val="32"/>
          <w:lang w:val="en-US" w:eastAsia="zh-CN"/>
        </w:rPr>
        <w:t>8.39</w:t>
      </w:r>
      <w:r>
        <w:rPr>
          <w:rFonts w:hint="eastAsia"/>
          <w:sz w:val="32"/>
          <w:szCs w:val="32"/>
        </w:rPr>
        <w:t>万元，</w:t>
      </w:r>
      <w:r>
        <w:rPr>
          <w:rFonts w:hint="eastAsia"/>
          <w:sz w:val="32"/>
          <w:szCs w:val="32"/>
          <w:lang w:eastAsia="zh-CN"/>
        </w:rPr>
        <w:t>其中区级配套资金</w:t>
      </w:r>
      <w:r>
        <w:rPr>
          <w:rFonts w:hint="eastAsia"/>
          <w:sz w:val="32"/>
          <w:szCs w:val="32"/>
          <w:lang w:val="en-US" w:eastAsia="zh-CN"/>
        </w:rPr>
        <w:t>3万元均使用完毕</w:t>
      </w:r>
      <w:r>
        <w:rPr>
          <w:rFonts w:hint="eastAsia"/>
          <w:sz w:val="32"/>
          <w:szCs w:val="32"/>
        </w:rPr>
        <w:t>。该专项经费均全部用于降低孕产妇死亡、消除新生儿破伤风</w:t>
      </w:r>
      <w:r>
        <w:rPr>
          <w:rFonts w:hint="eastAsia"/>
          <w:sz w:val="32"/>
          <w:szCs w:val="32"/>
          <w:lang w:eastAsia="zh-CN"/>
        </w:rPr>
        <w:t>的</w:t>
      </w:r>
      <w:r>
        <w:rPr>
          <w:rFonts w:hint="eastAsia"/>
          <w:sz w:val="32"/>
          <w:szCs w:val="32"/>
          <w:lang w:val="en-GB"/>
        </w:rPr>
        <w:t>业务培训、专家评审、监督指导</w:t>
      </w:r>
      <w:r>
        <w:rPr>
          <w:rFonts w:hint="eastAsia" w:ascii="仿宋" w:hAnsi="仿宋" w:eastAsia="仿宋" w:cs="Times New Roman"/>
          <w:kern w:val="2"/>
          <w:sz w:val="32"/>
          <w:szCs w:val="32"/>
          <w:lang w:val="en-GB" w:eastAsia="zh-CN" w:bidi="ar-SA"/>
        </w:rPr>
        <w:t>、项目办公经费等方面</w:t>
      </w:r>
      <w:r>
        <w:rPr>
          <w:rFonts w:hint="eastAsia" w:ascii="仿宋" w:hAnsi="仿宋" w:eastAsia="仿宋" w:cs="Times New Roman"/>
          <w:kern w:val="2"/>
          <w:sz w:val="32"/>
          <w:szCs w:val="32"/>
          <w:lang w:val="en-US" w:eastAsia="zh-CN" w:bidi="ar-SA"/>
        </w:rPr>
        <w:t>的支出，实现了2022年度本辖区内孕产妇零死亡率，新生儿破伤风零发病率，新生儿、婴儿及5岁以下儿童死亡率维持在较低水平，完成了2022年度绩效目标，有效降低了孕产妇死亡和消除新生儿破伤风；</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免费婚孕检项目（含地贫筛查）：2022年度该项目全年预算134.56万元，实际支出35.09万元，其中使用上年结转资金27.03万元，该专项经费主要用于婚孕检验耗材购买、婚孕检业务宣传资料印刷、地贫基因筛查检验费等方面的支出。2022年孕检目标人数2200人，实际完成孕检人数2772人，地贫阳性基因检测率达100%，婚检覆盖率81.54%，均完成了当年度绩效目标。</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预防艾梅乙母婴传播项目：2022年度预防艾梅乙母婴传播经费全年预算332.09万元，实际支出181.75万元。该笔专项经费用于目标人群阻断艾梅乙母婴传播等必要的检测及阻断药品支出、预防艾梅乙专项培训、宣教等支出，2022年实现孕产妇艾梅乙检测率100%，艾滋病、梅毒和乙肝感染孕产妇及所生儿童干预率100%，减轻了孕妇产检成本及感染孕产妇经济负担，降低孕产妇、新生儿死亡及出生缺陷的发生；</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妇幼监测及补助经费（含叶酸增补）：2022年该项目全年预算30.9万元，实际支出15.58万元，该专项资金主要用于托幼机构培训，妇幼卫生监测以及特困孕产妇补助，其中区级资金8万元均用于发放特困孕产妇补助。实现辖区所有助产机构出生缺陷监测新个案卡及出生缺陷医院分娩情况报表上报率达100%，区域托幼机构从业人员培训率100%，对辖区内符合条件的特困孕产妇实现应补尽补。</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0-6岁儿童视力筛查经费：2022年该项目全年预算4.95万元，实际支出4.95万元，实现辖区内0-6岁儿童眼保健和视力检查覆盖率达到96.16%，0-6岁儿童视力异常随访管理率达到100%，辖区内0-6岁儿童视力异常干预率达到96.16%。</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Times New Roman"/>
          <w:sz w:val="32"/>
          <w:szCs w:val="32"/>
          <w:lang w:val="en-US" w:eastAsia="zh-CN"/>
        </w:rPr>
      </w:pPr>
      <w:r>
        <w:rPr>
          <w:rFonts w:hint="default" w:ascii="仿宋" w:hAnsi="仿宋" w:eastAsia="仿宋" w:cs="Times New Roman"/>
          <w:sz w:val="32"/>
          <w:szCs w:val="32"/>
          <w:lang w:val="en-US" w:eastAsia="zh-CN"/>
        </w:rPr>
        <w:t>两癌项目经费</w:t>
      </w:r>
      <w:r>
        <w:rPr>
          <w:rFonts w:hint="eastAsia" w:ascii="仿宋" w:hAnsi="仿宋" w:eastAsia="仿宋" w:cs="Times New Roman"/>
          <w:sz w:val="32"/>
          <w:szCs w:val="32"/>
          <w:lang w:val="en-US" w:eastAsia="zh-CN"/>
        </w:rPr>
        <w:t>：2022年该项目全年预算11.39万元，实际支出6.39万元，实际完成目标人群检测6966人，个案治疗随访率达到100%。</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部门运转专项经费：该专项经费主要包含食堂开支、业务成本、公卫大楼设备购置等经费。2022年该专项经费全年预算156万元，实际支出150.36万元，保障医疗门诊工作正常运转，保障员工食堂用餐。</w:t>
      </w:r>
    </w:p>
    <w:p>
      <w:pPr>
        <w:pStyle w:val="9"/>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9"/>
        <w:numPr>
          <w:ilvl w:val="0"/>
          <w:numId w:val="0"/>
        </w:numPr>
        <w:spacing w:line="600"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无。</w:t>
      </w:r>
    </w:p>
    <w:p>
      <w:pPr>
        <w:pStyle w:val="9"/>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9"/>
        <w:numPr>
          <w:ilvl w:val="0"/>
          <w:numId w:val="0"/>
        </w:numPr>
        <w:spacing w:line="600"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无。</w:t>
      </w:r>
    </w:p>
    <w:p>
      <w:pPr>
        <w:pStyle w:val="9"/>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9"/>
        <w:numPr>
          <w:ilvl w:val="0"/>
          <w:numId w:val="0"/>
        </w:numPr>
        <w:spacing w:line="600"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无。</w:t>
      </w:r>
    </w:p>
    <w:p>
      <w:pPr>
        <w:numPr>
          <w:ilvl w:val="0"/>
          <w:numId w:val="2"/>
        </w:numPr>
        <w:spacing w:line="600" w:lineRule="exact"/>
        <w:ind w:left="0" w:leftChars="0" w:firstLine="640" w:firstLineChars="200"/>
        <w:rPr>
          <w:rFonts w:eastAsia="黑体"/>
          <w:sz w:val="32"/>
          <w:szCs w:val="32"/>
        </w:rPr>
      </w:pPr>
      <w:r>
        <w:rPr>
          <w:rFonts w:eastAsia="黑体"/>
          <w:sz w:val="32"/>
          <w:szCs w:val="32"/>
        </w:rPr>
        <w:t>部门整体支出绩效情况</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2022年本单位整体支出绩效自评得分97.07分，本单位严格按照年度总体工作部署和目标任务要求，统筹疫情防控和妇幼健康发展，单位的基本支出用于人员开支和日常经费开支，为全力保障母婴健康和开展各项技术服务业务提供了有力的后勤保障；项目支出均用于开展特定的专项业务，专项资金使用合理合规，专项业务的开展均很好地完成了2022年度的设定的绩效目标，切实保障了母婴安全，提高了出生人口素质。</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母婴安全保障方面：</w:t>
      </w:r>
      <w:r>
        <w:rPr>
          <w:rFonts w:hint="eastAsia" w:ascii="仿宋_GB2312" w:hAnsi="仿宋_GB2312" w:eastAsia="仿宋_GB2312" w:cs="仿宋_GB2312"/>
          <w:kern w:val="0"/>
          <w:sz w:val="32"/>
          <w:szCs w:val="32"/>
        </w:rPr>
        <w:t>全区</w:t>
      </w:r>
      <w:r>
        <w:rPr>
          <w:rFonts w:hint="eastAsia" w:ascii="仿宋_GB2312" w:hAnsi="仿宋_GB2312" w:eastAsia="仿宋_GB2312" w:cs="仿宋_GB2312"/>
          <w:sz w:val="32"/>
          <w:szCs w:val="32"/>
        </w:rPr>
        <w:t>孕产妇死亡率为0，5岁以下儿童死亡率1.37‰，新生儿死亡率0.17‰。</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省市民生实事方面：</w:t>
      </w:r>
      <w:r>
        <w:rPr>
          <w:rFonts w:hint="eastAsia" w:ascii="仿宋_GB2312" w:hAnsi="仿宋_GB2312" w:eastAsia="仿宋_GB2312" w:cs="仿宋_GB2312"/>
          <w:sz w:val="32"/>
          <w:szCs w:val="32"/>
        </w:rPr>
        <w:t>全区孕产妇免费产前筛查（省重点民生项目）完成率141.85%，新生儿先天性心脏病免费筛查完成率117.43%；农村适龄和城镇低保适龄妇女“两癌”免费检查（省重点民生项目）完成率110.88%；适龄妇女“两癌”免费检查（市健康民生项目）完成率105.55%</w:t>
      </w:r>
      <w:r>
        <w:rPr>
          <w:rFonts w:hint="eastAsia" w:ascii="仿宋_GB2312" w:hAnsi="仿宋_GB2312" w:cs="仿宋_GB2312"/>
          <w:sz w:val="32"/>
          <w:szCs w:val="32"/>
          <w:lang w:eastAsia="zh-CN"/>
        </w:rPr>
        <w:t>。</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出生缺陷防控方面：</w:t>
      </w:r>
      <w:r>
        <w:rPr>
          <w:rFonts w:hint="eastAsia" w:ascii="仿宋_GB2312" w:hAnsi="仿宋_GB2312" w:eastAsia="仿宋_GB2312" w:cs="仿宋_GB2312"/>
          <w:sz w:val="32"/>
          <w:szCs w:val="32"/>
        </w:rPr>
        <w:t>孕妇叶酸服用率99.41%，叶酸服用依从率94.58%，婚前医学检查率达81.54%，孕前优生健康检查目标人群覆盖率达126%。</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妇幼基本公卫方面：</w:t>
      </w:r>
      <w:r>
        <w:rPr>
          <w:rFonts w:hint="eastAsia" w:ascii="仿宋_GB2312" w:hAnsi="仿宋_GB2312" w:eastAsia="仿宋_GB2312" w:cs="仿宋_GB2312"/>
          <w:sz w:val="32"/>
          <w:szCs w:val="32"/>
        </w:rPr>
        <w:t>孕产妇系统管理率96.94%，早孕建册率95.33%，产后访视率96.98%，孕产妇贫血患病率8.03%；新生儿访视率99.67%，3岁以下儿童系统管理率93.33%，7岁以下儿童健康管理率96.78%，5岁以下儿童贫血患病率3.7%，5岁以下儿童生长迟缓率0.28%，5岁以下儿童肥胖发病率0.89%，低出生体重发生率5.56%；0-6岁儿童眼保健和视力检查覆盖率96.78%，6岁儿童视力不良检出率6.93%。</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妇幼重大公卫方面：</w:t>
      </w:r>
      <w:r>
        <w:rPr>
          <w:rFonts w:hint="eastAsia" w:ascii="仿宋_GB2312" w:hAnsi="仿宋_GB2312" w:eastAsia="仿宋_GB2312" w:cs="仿宋_GB2312"/>
          <w:sz w:val="32"/>
          <w:szCs w:val="32"/>
        </w:rPr>
        <w:t>孕产妇艾滋病、梅毒和乙肝检测率100%，孕早期检测率99.54%，艾滋病感染孕产妇及所生儿童抗病毒用药率100%，梅毒感染孕产妇治疗率92.59%，梅毒感染孕产妇所生儿童预防性治疗率100%，乙肝感染孕产妇所生儿童首剂乙肝疫苗及时接种率100%，乙肝免疫球蛋白注射率100%，及时注射率99.55%。</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widowControl/>
        <w:snapToGrid w:val="0"/>
        <w:spacing w:line="560" w:lineRule="exact"/>
        <w:ind w:firstLine="640" w:firstLineChars="200"/>
        <w:jc w:val="left"/>
        <w:rPr>
          <w:rFonts w:hint="eastAsia" w:ascii="Times New Roman" w:hAnsi="Times New Roman" w:cs="Times New Roman"/>
          <w:color w:val="000000"/>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Times New Roman" w:hAnsi="Times New Roman" w:cs="Times New Roman"/>
          <w:color w:val="000000"/>
          <w:sz w:val="32"/>
          <w:szCs w:val="32"/>
          <w:lang w:val="en-US" w:eastAsia="zh-CN"/>
        </w:rPr>
        <w:t>部门整体支出的预算执行率未100%完成，其中涉及到的基本支出存在支出结余的现象，部分项目支出第四季度未结算；</w:t>
      </w:r>
    </w:p>
    <w:p>
      <w:pPr>
        <w:pStyle w:val="6"/>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cs="Times New Roman"/>
          <w:kern w:val="2"/>
          <w:sz w:val="32"/>
          <w:szCs w:val="32"/>
          <w:lang w:val="en-US" w:eastAsia="zh-CN" w:bidi="ar-SA"/>
        </w:rPr>
        <w:t>预防艾梅乙母婴传播项目中梅毒感染孕产妇治疗率目标要求达到95%以上，实际完成92.59%，偏差原因：医疗机构院内服务流程待进一步加强；感染孕产妇依从性差。下一步将督导完善医疗机构院内服务流程，加强相关宣教，提高感染孕产妇治疗依从性。</w:t>
      </w:r>
    </w:p>
    <w:p>
      <w:pPr>
        <w:spacing w:line="600" w:lineRule="exact"/>
        <w:ind w:firstLine="640" w:firstLineChars="200"/>
        <w:rPr>
          <w:rFonts w:eastAsia="黑体"/>
          <w:sz w:val="32"/>
          <w:szCs w:val="32"/>
        </w:rPr>
      </w:pPr>
      <w:r>
        <w:rPr>
          <w:rFonts w:hint="eastAsia" w:eastAsia="黑体"/>
          <w:sz w:val="32"/>
          <w:szCs w:val="32"/>
          <w:lang w:eastAsia="zh-CN"/>
        </w:rPr>
        <w:t>八</w:t>
      </w:r>
      <w:r>
        <w:rPr>
          <w:rFonts w:eastAsia="黑体"/>
          <w:sz w:val="32"/>
          <w:szCs w:val="32"/>
        </w:rPr>
        <w:t>、绩效自评结果拟应用和公开情况</w:t>
      </w:r>
    </w:p>
    <w:p>
      <w:pPr>
        <w:pStyle w:val="2"/>
        <w:rPr>
          <w:rFonts w:hint="eastAsia" w:eastAsia="黑体"/>
          <w:lang w:eastAsia="zh-CN"/>
        </w:rPr>
      </w:pPr>
      <w:r>
        <w:rPr>
          <w:rFonts w:hint="eastAsia" w:eastAsia="黑体"/>
          <w:sz w:val="32"/>
          <w:szCs w:val="32"/>
          <w:lang w:eastAsia="zh-CN"/>
        </w:rPr>
        <w:t>无。</w:t>
      </w:r>
    </w:p>
    <w:p>
      <w:pPr>
        <w:spacing w:line="600" w:lineRule="exact"/>
        <w:ind w:firstLine="640" w:firstLineChars="200"/>
        <w:rPr>
          <w:rFonts w:eastAsia="黑体"/>
          <w:sz w:val="32"/>
          <w:szCs w:val="32"/>
        </w:rPr>
      </w:pPr>
      <w:r>
        <w:rPr>
          <w:rFonts w:eastAsia="黑体"/>
          <w:sz w:val="32"/>
          <w:szCs w:val="32"/>
        </w:rPr>
        <w:t>其他需要说明的情况</w:t>
      </w:r>
    </w:p>
    <w:p>
      <w:pPr>
        <w:pStyle w:val="2"/>
        <w:rPr>
          <w:rFonts w:hint="eastAsia" w:eastAsia="黑体"/>
          <w:lang w:eastAsia="zh-CN"/>
        </w:rPr>
      </w:pPr>
      <w:r>
        <w:rPr>
          <w:rFonts w:hint="eastAsia" w:eastAsia="黑体"/>
          <w:sz w:val="32"/>
          <w:szCs w:val="32"/>
          <w:lang w:eastAsia="zh-CN"/>
        </w:rPr>
        <w:t>无。</w:t>
      </w:r>
    </w:p>
    <w:p>
      <w:pPr>
        <w:spacing w:line="600" w:lineRule="exact"/>
        <w:ind w:firstLine="640" w:firstLineChars="200"/>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ind w:left="0" w:leftChars="0" w:firstLine="0" w:firstLineChars="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报告需要以下附件：</w:t>
      </w:r>
    </w:p>
    <w:p>
      <w:pPr>
        <w:spacing w:line="600" w:lineRule="exact"/>
        <w:ind w:firstLine="640" w:firstLineChars="200"/>
        <w:rPr>
          <w:rFonts w:eastAsia="仿宋_GB2312"/>
          <w:sz w:val="32"/>
          <w:szCs w:val="32"/>
        </w:rPr>
      </w:pPr>
      <w:r>
        <w:rPr>
          <w:rFonts w:eastAsia="仿宋_GB2312"/>
          <w:sz w:val="32"/>
          <w:szCs w:val="32"/>
        </w:rPr>
        <w:t>1、部门整体支出绩效评价基础数据表</w:t>
      </w:r>
      <w:r>
        <w:rPr>
          <w:rFonts w:hint="eastAsia" w:eastAsia="仿宋_GB2312"/>
          <w:sz w:val="32"/>
          <w:szCs w:val="32"/>
        </w:rPr>
        <w:t>（P</w:t>
      </w:r>
      <w:r>
        <w:rPr>
          <w:rFonts w:hint="eastAsia"/>
          <w:sz w:val="32"/>
          <w:szCs w:val="32"/>
          <w:lang w:val="en-US" w:eastAsia="zh-CN"/>
        </w:rPr>
        <w:t>8</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2、部门整体支出绩效自评表</w:t>
      </w:r>
      <w:r>
        <w:rPr>
          <w:rFonts w:hint="eastAsia" w:eastAsia="仿宋_GB2312"/>
          <w:sz w:val="32"/>
          <w:szCs w:val="32"/>
        </w:rPr>
        <w:t>（P</w:t>
      </w:r>
      <w:r>
        <w:rPr>
          <w:rFonts w:hint="eastAsia"/>
          <w:sz w:val="32"/>
          <w:szCs w:val="32"/>
          <w:lang w:val="en-US" w:eastAsia="zh-CN"/>
        </w:rPr>
        <w:t>9</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3、项目支出绩效自评表</w:t>
      </w:r>
      <w:r>
        <w:rPr>
          <w:rFonts w:hint="eastAsia" w:eastAsia="仿宋_GB2312"/>
          <w:sz w:val="32"/>
          <w:szCs w:val="32"/>
        </w:rPr>
        <w:t>（P</w:t>
      </w:r>
      <w:r>
        <w:rPr>
          <w:rFonts w:hint="eastAsia"/>
          <w:sz w:val="32"/>
          <w:szCs w:val="32"/>
          <w:lang w:val="en-US" w:eastAsia="zh-CN"/>
        </w:rPr>
        <w:t>10</w:t>
      </w:r>
      <w:r>
        <w:rPr>
          <w:rFonts w:hint="eastAsia" w:eastAsia="仿宋_GB2312"/>
          <w:sz w:val="32"/>
          <w:szCs w:val="32"/>
        </w:rPr>
        <w:t>）</w:t>
      </w:r>
      <w:r>
        <w:rPr>
          <w:rFonts w:eastAsia="仿宋_GB2312"/>
          <w:sz w:val="32"/>
          <w:szCs w:val="32"/>
        </w:rPr>
        <w:t>（每个一级项目支出一张表）</w:t>
      </w:r>
    </w:p>
    <w:p>
      <w:pPr>
        <w:spacing w:line="600" w:lineRule="exact"/>
        <w:ind w:firstLine="640" w:firstLineChars="200"/>
        <w:rPr>
          <w:rFonts w:eastAsia="仿宋_GB2312"/>
          <w:sz w:val="32"/>
          <w:szCs w:val="32"/>
        </w:rPr>
      </w:pPr>
      <w:r>
        <w:rPr>
          <w:rFonts w:eastAsia="仿宋_GB2312"/>
          <w:sz w:val="32"/>
          <w:szCs w:val="32"/>
        </w:rPr>
        <w:t>4、政府性基金预算支出情况表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sz w:val="32"/>
          <w:szCs w:val="32"/>
        </w:rPr>
      </w:pPr>
      <w:r>
        <w:rPr>
          <w:rFonts w:eastAsia="仿宋_GB2312"/>
          <w:sz w:val="32"/>
          <w:szCs w:val="32"/>
        </w:rPr>
        <w:t>5、国有资本经营预算支出情况表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sz w:val="32"/>
          <w:szCs w:val="32"/>
        </w:rPr>
      </w:pPr>
      <w:r>
        <w:rPr>
          <w:rFonts w:eastAsia="仿宋_GB2312"/>
          <w:sz w:val="32"/>
          <w:szCs w:val="32"/>
        </w:rPr>
        <w:t>6、社会保险基金预算支出情况表</w:t>
      </w:r>
      <w:r>
        <w:rPr>
          <w:rFonts w:hint="eastAsia" w:eastAsia="仿宋_GB2312"/>
          <w:sz w:val="32"/>
          <w:szCs w:val="32"/>
        </w:rPr>
        <w:t>（该表与当年部门预决算公开保持一致）</w:t>
      </w:r>
    </w:p>
    <w:p>
      <w:pPr>
        <w:spacing w:line="600" w:lineRule="exact"/>
        <w:rPr>
          <w:rFonts w:eastAsia="仿宋_GB2312"/>
          <w:kern w:val="0"/>
          <w:sz w:val="32"/>
          <w:szCs w:val="32"/>
        </w:rPr>
      </w:pPr>
    </w:p>
    <w:p>
      <w:pPr>
        <w:rPr>
          <w:rFonts w:hint="eastAsia"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26165A"/>
    <w:multiLevelType w:val="singleLevel"/>
    <w:tmpl w:val="D526165A"/>
    <w:lvl w:ilvl="0" w:tentative="0">
      <w:start w:val="3"/>
      <w:numFmt w:val="chineseCounting"/>
      <w:suff w:val="nothing"/>
      <w:lvlText w:val="%1、"/>
      <w:lvlJc w:val="left"/>
      <w:rPr>
        <w:rFonts w:hint="eastAsia"/>
      </w:rPr>
    </w:lvl>
  </w:abstractNum>
  <w:abstractNum w:abstractNumId="1">
    <w:nsid w:val="664F0C9D"/>
    <w:multiLevelType w:val="singleLevel"/>
    <w:tmpl w:val="664F0C9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ZGJmZDFlNTYyMzFjMzFlYWMwOTViNTVlMzhjNmUifQ=="/>
  </w:docVars>
  <w:rsids>
    <w:rsidRoot w:val="008E78CB"/>
    <w:rsid w:val="006479FB"/>
    <w:rsid w:val="008E78CB"/>
    <w:rsid w:val="0328464B"/>
    <w:rsid w:val="04D614E6"/>
    <w:rsid w:val="066E3443"/>
    <w:rsid w:val="06D322B3"/>
    <w:rsid w:val="084F1E4E"/>
    <w:rsid w:val="08D02EBC"/>
    <w:rsid w:val="0ACD752C"/>
    <w:rsid w:val="0C0C4FB5"/>
    <w:rsid w:val="0C8F3D96"/>
    <w:rsid w:val="0CF85DDF"/>
    <w:rsid w:val="0D0F5D4A"/>
    <w:rsid w:val="0D253D87"/>
    <w:rsid w:val="1684192F"/>
    <w:rsid w:val="196768DB"/>
    <w:rsid w:val="1D790876"/>
    <w:rsid w:val="1DE82C1C"/>
    <w:rsid w:val="1FD42590"/>
    <w:rsid w:val="20943C19"/>
    <w:rsid w:val="230B7359"/>
    <w:rsid w:val="23A202CD"/>
    <w:rsid w:val="2A0316E4"/>
    <w:rsid w:val="2D053ED4"/>
    <w:rsid w:val="384E1641"/>
    <w:rsid w:val="39733FDC"/>
    <w:rsid w:val="39D82A57"/>
    <w:rsid w:val="3C9B3859"/>
    <w:rsid w:val="40E81AE8"/>
    <w:rsid w:val="41D63C39"/>
    <w:rsid w:val="432832EB"/>
    <w:rsid w:val="441F06F6"/>
    <w:rsid w:val="44A83E45"/>
    <w:rsid w:val="44BB608F"/>
    <w:rsid w:val="485915FB"/>
    <w:rsid w:val="4ACC4FA9"/>
    <w:rsid w:val="4B67576D"/>
    <w:rsid w:val="4D2D3ACA"/>
    <w:rsid w:val="4F8C247D"/>
    <w:rsid w:val="57563262"/>
    <w:rsid w:val="5A867B53"/>
    <w:rsid w:val="5FA56DED"/>
    <w:rsid w:val="60EE4B44"/>
    <w:rsid w:val="64852C29"/>
    <w:rsid w:val="64E07D9C"/>
    <w:rsid w:val="676E7F16"/>
    <w:rsid w:val="692A0243"/>
    <w:rsid w:val="6C187180"/>
    <w:rsid w:val="6D830433"/>
    <w:rsid w:val="6D9B0669"/>
    <w:rsid w:val="71DD3E42"/>
    <w:rsid w:val="7309711B"/>
    <w:rsid w:val="755367CA"/>
    <w:rsid w:val="764F6ECE"/>
    <w:rsid w:val="76D40BF4"/>
    <w:rsid w:val="78F6179F"/>
    <w:rsid w:val="7A6C04E0"/>
    <w:rsid w:val="7A6C05B2"/>
    <w:rsid w:val="7A7C0656"/>
    <w:rsid w:val="7DBE513D"/>
    <w:rsid w:val="7E510584"/>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Body Text"/>
    <w:basedOn w:val="1"/>
    <w:unhideWhenUsed/>
    <w:qFormat/>
    <w:uiPriority w:val="99"/>
    <w:pPr>
      <w:spacing w:after="12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unhideWhenUsed/>
    <w:qFormat/>
    <w:uiPriority w:val="99"/>
    <w:pPr>
      <w:ind w:left="420" w:leftChars="200" w:firstLine="420" w:firstLineChars="200"/>
    </w:pPr>
    <w:rPr>
      <w:rFonts w:ascii="Times New Roman" w:eastAsia="宋体"/>
    </w:rPr>
  </w:style>
  <w:style w:type="paragraph" w:styleId="9">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3021</Words>
  <Characters>3405</Characters>
  <Lines>19</Lines>
  <Paragraphs>5</Paragraphs>
  <TotalTime>5</TotalTime>
  <ScaleCrop>false</ScaleCrop>
  <LinksUpToDate>false</LinksUpToDate>
  <CharactersWithSpaces>3407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唐娅迁</cp:lastModifiedBy>
  <cp:lastPrinted>2023-04-12T01:13:00Z</cp:lastPrinted>
  <dcterms:modified xsi:type="dcterms:W3CDTF">2023-10-16T06:34:47Z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DA6784652A484514BC11465C514DAFE3</vt:lpwstr>
  </property>
</Properties>
</file>