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2"/>
        <w:rPr>
          <w:rFonts w:hint="eastAsia" w:ascii="宋体" w:hAnsi="宋体" w:eastAsia="宋体" w:cs="宋体"/>
          <w:b/>
          <w:bCs/>
          <w:color w:val="auto"/>
          <w:sz w:val="44"/>
          <w:szCs w:val="44"/>
        </w:rPr>
      </w:pPr>
      <w:r>
        <w:rPr>
          <w:rFonts w:hint="eastAsia" w:ascii="宋体" w:hAnsi="宋体" w:eastAsia="宋体" w:cs="宋体"/>
          <w:b/>
          <w:bCs/>
          <w:color w:val="auto"/>
          <w:sz w:val="44"/>
          <w:szCs w:val="44"/>
        </w:rPr>
        <w:t xml:space="preserve"> </w:t>
      </w:r>
      <w:r>
        <w:rPr>
          <w:rFonts w:hint="eastAsia" w:ascii="仿宋" w:hAnsi="仿宋" w:eastAsia="仿宋" w:cs="仿宋"/>
          <w:b/>
          <w:bCs/>
          <w:color w:val="auto"/>
          <w:kern w:val="0"/>
          <w:sz w:val="48"/>
          <w:szCs w:val="48"/>
          <w:lang w:val="en-US" w:eastAsia="zh-CN"/>
        </w:rPr>
        <w:t>2021</w:t>
      </w:r>
      <w:r>
        <w:rPr>
          <w:rFonts w:hint="eastAsia" w:ascii="仿宋" w:hAnsi="仿宋" w:eastAsia="仿宋" w:cs="仿宋"/>
          <w:b/>
          <w:bCs/>
          <w:color w:val="auto"/>
          <w:kern w:val="0"/>
          <w:sz w:val="48"/>
          <w:szCs w:val="48"/>
        </w:rPr>
        <w:t>年</w:t>
      </w:r>
      <w:r>
        <w:rPr>
          <w:rFonts w:hint="eastAsia" w:ascii="宋体" w:hAnsi="宋体" w:eastAsia="宋体" w:cs="宋体"/>
          <w:b/>
          <w:bCs/>
          <w:color w:val="auto"/>
          <w:sz w:val="44"/>
          <w:szCs w:val="44"/>
        </w:rPr>
        <w:t>长沙市开福区动物卫生监督所部门预算</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2"/>
        <w:rPr>
          <w:rFonts w:hint="eastAsia" w:ascii="宋体" w:hAnsi="宋体" w:eastAsia="宋体" w:cs="宋体"/>
          <w:b/>
          <w:bCs/>
          <w:color w:val="auto"/>
          <w:sz w:val="44"/>
          <w:szCs w:val="44"/>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黑体"/>
          <w:bCs/>
          <w:color w:val="auto"/>
          <w:kern w:val="0"/>
          <w:sz w:val="32"/>
          <w:szCs w:val="32"/>
        </w:rPr>
      </w:pPr>
      <w:r>
        <w:rPr>
          <w:rFonts w:eastAsia="黑体"/>
          <w:bCs/>
          <w:color w:val="auto"/>
          <w:kern w:val="0"/>
          <w:sz w:val="32"/>
          <w:szCs w:val="32"/>
        </w:rPr>
        <w:t>目 录</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2021年部门预算说明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一、部门基本概况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二、部门预算单位构成</w:t>
      </w:r>
      <w:bookmarkStart w:id="0" w:name="_GoBack"/>
      <w:bookmarkEnd w:id="0"/>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三、部门收支总体情况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四、一般公共预算拨款支出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五、政府性基金预算支出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六、其他重要事项的情况说明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七、名词解释</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textAlignment w:val="auto"/>
        <w:rPr>
          <w:rFonts w:eastAsia="仿宋_GB2312"/>
          <w:b/>
          <w:bCs/>
          <w:color w:val="auto"/>
          <w:kern w:val="0"/>
          <w:sz w:val="32"/>
          <w:szCs w:val="32"/>
        </w:rPr>
      </w:pPr>
      <w:r>
        <w:rPr>
          <w:rFonts w:hint="eastAsia" w:ascii="黑体" w:hAnsi="黑体" w:eastAsia="黑体" w:cs="黑体"/>
          <w:b/>
          <w:bCs/>
          <w:color w:val="auto"/>
          <w:kern w:val="0"/>
          <w:sz w:val="32"/>
          <w:szCs w:val="32"/>
        </w:rPr>
        <w:t>第二部分 2021年部门预算表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1、部门收支总表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2、部门收入总表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3、部门支出总表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4、财政拨款收支</w:t>
      </w:r>
      <w:r>
        <w:rPr>
          <w:rFonts w:hint="eastAsia" w:ascii="仿宋" w:hAnsi="仿宋" w:eastAsia="仿宋" w:cs="仿宋"/>
          <w:color w:val="auto"/>
          <w:sz w:val="32"/>
          <w:szCs w:val="32"/>
          <w:lang w:val="en-US" w:eastAsia="zh-CN"/>
        </w:rPr>
        <w:t>总</w:t>
      </w:r>
      <w:r>
        <w:rPr>
          <w:rFonts w:hint="eastAsia" w:ascii="仿宋" w:hAnsi="仿宋" w:eastAsia="仿宋" w:cs="仿宋"/>
          <w:color w:val="auto"/>
          <w:sz w:val="32"/>
          <w:szCs w:val="32"/>
        </w:rPr>
        <w:t>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5、一般公共预算支出表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6、一般公共预算基本支出表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7、一般公共预算“三公”经费支出表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8、政府性基金预算支出表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yellow"/>
        </w:rPr>
      </w:pPr>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rPr>
        <w:t>国有资本经营预算支出表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10、</w:t>
      </w:r>
      <w:r>
        <w:rPr>
          <w:rFonts w:hint="eastAsia" w:ascii="仿宋" w:hAnsi="仿宋" w:eastAsia="仿宋" w:cs="仿宋"/>
          <w:color w:val="auto"/>
          <w:sz w:val="32"/>
          <w:szCs w:val="32"/>
          <w:highlight w:val="none"/>
        </w:rPr>
        <w:t>项目支出绩效目标表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11、</w:t>
      </w:r>
      <w:r>
        <w:rPr>
          <w:rFonts w:hint="eastAsia" w:ascii="仿宋" w:hAnsi="仿宋" w:eastAsia="仿宋" w:cs="仿宋"/>
          <w:color w:val="auto"/>
          <w:sz w:val="32"/>
          <w:szCs w:val="32"/>
          <w:highlight w:val="none"/>
        </w:rPr>
        <w:t>整体支出绩效目标表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color w:val="auto"/>
          <w:kern w:val="0"/>
          <w:sz w:val="32"/>
          <w:szCs w:val="32"/>
        </w:rPr>
      </w:pPr>
      <w:r>
        <w:rPr>
          <w:rFonts w:hint="eastAsia" w:ascii="仿宋" w:hAnsi="仿宋" w:eastAsia="仿宋" w:cs="仿宋"/>
          <w:bCs/>
          <w:color w:val="auto"/>
          <w:kern w:val="0"/>
          <w:sz w:val="32"/>
          <w:szCs w:val="32"/>
        </w:rPr>
        <w:t>注：以上部门预算报表中，空表表示本部门无相关收支情况。</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color w:val="auto"/>
          <w:kern w:val="0"/>
          <w:szCs w:val="21"/>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color w:val="auto"/>
          <w:kern w:val="0"/>
          <w:szCs w:val="21"/>
        </w:rPr>
      </w:pPr>
    </w:p>
    <w:p>
      <w:pPr>
        <w:keepNext w:val="0"/>
        <w:keepLines w:val="0"/>
        <w:pageBreakBefore w:val="0"/>
        <w:widowControl/>
        <w:numPr>
          <w:ilvl w:val="0"/>
          <w:numId w:val="2"/>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b/>
          <w:bCs w:val="0"/>
          <w:color w:val="auto"/>
          <w:kern w:val="0"/>
          <w:sz w:val="44"/>
          <w:szCs w:val="44"/>
        </w:rPr>
      </w:pPr>
      <w:r>
        <w:rPr>
          <w:rFonts w:hint="eastAsia" w:ascii="黑体" w:hAnsi="黑体" w:eastAsia="黑体" w:cs="黑体"/>
          <w:b/>
          <w:bCs w:val="0"/>
          <w:color w:val="auto"/>
          <w:kern w:val="0"/>
          <w:sz w:val="44"/>
          <w:szCs w:val="44"/>
          <w:lang w:val="en-US" w:eastAsia="zh-CN"/>
        </w:rPr>
        <w:t>2021年</w:t>
      </w:r>
      <w:r>
        <w:rPr>
          <w:rFonts w:hint="eastAsia" w:ascii="黑体" w:hAnsi="黑体" w:eastAsia="黑体" w:cs="黑体"/>
          <w:b/>
          <w:bCs w:val="0"/>
          <w:color w:val="auto"/>
          <w:kern w:val="0"/>
          <w:sz w:val="44"/>
          <w:szCs w:val="44"/>
        </w:rPr>
        <w:t>部门预算说明</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both"/>
        <w:textAlignment w:val="auto"/>
        <w:rPr>
          <w:rFonts w:hint="eastAsia" w:ascii="黑体" w:hAnsi="黑体" w:eastAsia="黑体" w:cs="黑体"/>
          <w:b/>
          <w:bCs w:val="0"/>
          <w:color w:val="auto"/>
          <w:kern w:val="0"/>
          <w:sz w:val="44"/>
          <w:szCs w:val="44"/>
        </w:rPr>
      </w:pP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eastAsia="黑体"/>
          <w:bCs/>
          <w:color w:val="auto"/>
          <w:kern w:val="0"/>
          <w:sz w:val="32"/>
          <w:szCs w:val="32"/>
        </w:rPr>
      </w:pPr>
      <w:r>
        <w:rPr>
          <w:rFonts w:eastAsia="黑体"/>
          <w:bCs/>
          <w:color w:val="auto"/>
          <w:kern w:val="0"/>
          <w:sz w:val="32"/>
          <w:szCs w:val="32"/>
        </w:rPr>
        <w:t>一、部门基本概况</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val="0"/>
          <w:color w:val="auto"/>
          <w:kern w:val="0"/>
          <w:sz w:val="32"/>
          <w:szCs w:val="32"/>
        </w:rPr>
      </w:pPr>
      <w:r>
        <w:rPr>
          <w:rFonts w:hint="eastAsia" w:ascii="仿宋" w:hAnsi="仿宋" w:eastAsia="仿宋" w:cs="仿宋"/>
          <w:b/>
          <w:bCs w:val="0"/>
          <w:color w:val="auto"/>
          <w:kern w:val="0"/>
          <w:sz w:val="32"/>
          <w:szCs w:val="32"/>
        </w:rPr>
        <w:t>1、职能职责</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color w:val="auto"/>
          <w:kern w:val="0"/>
          <w:sz w:val="32"/>
          <w:szCs w:val="32"/>
        </w:rPr>
      </w:pPr>
      <w:r>
        <w:rPr>
          <w:rFonts w:hint="eastAsia" w:ascii="仿宋" w:hAnsi="仿宋" w:eastAsia="仿宋" w:cs="仿宋"/>
          <w:bCs/>
          <w:color w:val="auto"/>
          <w:kern w:val="0"/>
          <w:sz w:val="32"/>
          <w:szCs w:val="32"/>
        </w:rPr>
        <w:t>（1）、依法实施动物防疫监督工作；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color w:val="auto"/>
          <w:kern w:val="0"/>
          <w:sz w:val="32"/>
          <w:szCs w:val="32"/>
        </w:rPr>
      </w:pPr>
      <w:r>
        <w:rPr>
          <w:rFonts w:hint="eastAsia" w:ascii="仿宋" w:hAnsi="仿宋" w:eastAsia="仿宋" w:cs="仿宋"/>
          <w:bCs/>
          <w:color w:val="auto"/>
          <w:kern w:val="0"/>
          <w:sz w:val="32"/>
          <w:szCs w:val="32"/>
        </w:rPr>
        <w:t>（2）、负责动物卫生监督执法；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color w:val="auto"/>
          <w:kern w:val="0"/>
          <w:sz w:val="32"/>
          <w:szCs w:val="32"/>
        </w:rPr>
      </w:pPr>
      <w:r>
        <w:rPr>
          <w:rFonts w:hint="eastAsia" w:ascii="仿宋" w:hAnsi="仿宋" w:eastAsia="仿宋" w:cs="仿宋"/>
          <w:bCs/>
          <w:color w:val="auto"/>
          <w:kern w:val="0"/>
          <w:sz w:val="32"/>
          <w:szCs w:val="32"/>
        </w:rPr>
        <w:t>（3）、依法承担动物和动物产品检疫、动物疫情调查及动物疫情监测和报告工作;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color w:val="auto"/>
          <w:kern w:val="0"/>
          <w:sz w:val="32"/>
          <w:szCs w:val="32"/>
        </w:rPr>
      </w:pPr>
      <w:r>
        <w:rPr>
          <w:rFonts w:hint="eastAsia" w:ascii="仿宋" w:hAnsi="仿宋" w:eastAsia="仿宋" w:cs="仿宋"/>
          <w:bCs/>
          <w:color w:val="auto"/>
          <w:kern w:val="0"/>
          <w:sz w:val="32"/>
          <w:szCs w:val="32"/>
        </w:rPr>
        <w:t>（4）、负责对辖区内村级防疫员的管理和协助上级业务部门对执行兽医的监督、指导及考核；</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color w:val="auto"/>
          <w:kern w:val="0"/>
          <w:sz w:val="32"/>
          <w:szCs w:val="32"/>
        </w:rPr>
      </w:pPr>
      <w:r>
        <w:rPr>
          <w:rFonts w:hint="eastAsia" w:ascii="仿宋" w:hAnsi="仿宋" w:eastAsia="仿宋" w:cs="仿宋"/>
          <w:bCs/>
          <w:color w:val="auto"/>
          <w:kern w:val="0"/>
          <w:sz w:val="32"/>
          <w:szCs w:val="32"/>
        </w:rPr>
        <w:t>（5）、负责对动物卫生有关方面的法律法规的宣传；</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color w:val="auto"/>
          <w:kern w:val="0"/>
          <w:sz w:val="32"/>
          <w:szCs w:val="32"/>
        </w:rPr>
      </w:pPr>
      <w:r>
        <w:rPr>
          <w:rFonts w:hint="eastAsia" w:ascii="仿宋" w:hAnsi="仿宋" w:eastAsia="仿宋" w:cs="仿宋"/>
          <w:bCs/>
          <w:color w:val="auto"/>
          <w:kern w:val="0"/>
          <w:sz w:val="32"/>
          <w:szCs w:val="32"/>
        </w:rPr>
        <w:t>（6）、负责全区的动物防疫指导工作；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color w:val="auto"/>
          <w:kern w:val="0"/>
          <w:sz w:val="32"/>
          <w:szCs w:val="32"/>
        </w:rPr>
      </w:pPr>
      <w:r>
        <w:rPr>
          <w:rFonts w:hint="eastAsia" w:ascii="仿宋" w:hAnsi="仿宋" w:eastAsia="仿宋" w:cs="仿宋"/>
          <w:bCs/>
          <w:color w:val="auto"/>
          <w:kern w:val="0"/>
          <w:sz w:val="32"/>
          <w:szCs w:val="32"/>
        </w:rPr>
        <w:t>（7）、负责规范全区宠物医院、诊所的经营行为。</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val="0"/>
          <w:color w:val="auto"/>
          <w:kern w:val="0"/>
          <w:sz w:val="32"/>
          <w:szCs w:val="32"/>
        </w:rPr>
      </w:pPr>
      <w:r>
        <w:rPr>
          <w:rFonts w:hint="eastAsia" w:ascii="仿宋" w:hAnsi="仿宋" w:eastAsia="仿宋" w:cs="仿宋"/>
          <w:b/>
          <w:bCs w:val="0"/>
          <w:color w:val="auto"/>
          <w:kern w:val="0"/>
          <w:sz w:val="32"/>
          <w:szCs w:val="32"/>
        </w:rPr>
        <w:t>2、机构设置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color w:val="auto"/>
          <w:kern w:val="0"/>
          <w:sz w:val="32"/>
          <w:szCs w:val="32"/>
        </w:rPr>
      </w:pPr>
      <w:r>
        <w:rPr>
          <w:rFonts w:hint="eastAsia" w:ascii="仿宋" w:hAnsi="仿宋" w:eastAsia="仿宋" w:cs="仿宋"/>
          <w:bCs/>
          <w:color w:val="auto"/>
          <w:kern w:val="0"/>
          <w:sz w:val="32"/>
          <w:szCs w:val="32"/>
        </w:rPr>
        <w:t>本部门是开福区农业农村局二级机构，为全额拨款事业单位。</w:t>
      </w:r>
      <w:r>
        <w:rPr>
          <w:rFonts w:hint="eastAsia" w:ascii="仿宋" w:hAnsi="仿宋" w:eastAsia="仿宋" w:cs="仿宋"/>
          <w:bCs/>
          <w:color w:val="auto"/>
          <w:kern w:val="0"/>
          <w:sz w:val="32"/>
          <w:szCs w:val="32"/>
          <w:highlight w:val="none"/>
        </w:rPr>
        <w:t>本部门内设3个职能科室：办公室，城郊分所，城区分所</w:t>
      </w:r>
      <w:r>
        <w:rPr>
          <w:rFonts w:hint="eastAsia" w:ascii="仿宋" w:hAnsi="仿宋" w:eastAsia="仿宋" w:cs="仿宋"/>
          <w:bCs/>
          <w:color w:val="auto"/>
          <w:kern w:val="0"/>
          <w:sz w:val="32"/>
          <w:szCs w:val="32"/>
          <w:highlight w:val="none"/>
          <w:lang w:val="en-US" w:eastAsia="zh-CN"/>
        </w:rPr>
        <w:t>;</w:t>
      </w:r>
      <w:r>
        <w:rPr>
          <w:rFonts w:hint="eastAsia" w:ascii="仿宋" w:hAnsi="仿宋" w:eastAsia="仿宋" w:cs="仿宋"/>
          <w:bCs/>
          <w:color w:val="auto"/>
          <w:kern w:val="0"/>
          <w:sz w:val="32"/>
          <w:szCs w:val="32"/>
        </w:rPr>
        <w:t>本部门编制数 6 人，在职人数 6 人，在岗人数 29 人；离退休人数 2 人，其中离休人员 0 人，退休人员 2 人。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Cs/>
          <w:color w:val="auto"/>
          <w:kern w:val="0"/>
          <w:sz w:val="32"/>
          <w:szCs w:val="32"/>
        </w:rPr>
      </w:pPr>
      <w:r>
        <w:rPr>
          <w:rFonts w:hint="eastAsia" w:ascii="黑体" w:hAnsi="黑体" w:eastAsia="黑体" w:cs="黑体"/>
          <w:bCs/>
          <w:color w:val="auto"/>
          <w:kern w:val="0"/>
          <w:sz w:val="32"/>
          <w:szCs w:val="32"/>
        </w:rPr>
        <w:t>二、部门预算单位构成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color w:val="auto"/>
          <w:kern w:val="0"/>
          <w:sz w:val="32"/>
          <w:szCs w:val="32"/>
        </w:rPr>
      </w:pPr>
      <w:r>
        <w:rPr>
          <w:rFonts w:hint="eastAsia" w:ascii="仿宋" w:hAnsi="仿宋" w:eastAsia="仿宋" w:cs="仿宋"/>
          <w:bCs/>
          <w:color w:val="auto"/>
          <w:kern w:val="0"/>
          <w:sz w:val="32"/>
          <w:szCs w:val="32"/>
        </w:rPr>
        <w:t>本部门只有本级，没有其他二级预算单位，因此，纳入2021年部门预算编制范围的只有部门本级。</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Cs/>
          <w:color w:val="auto"/>
          <w:kern w:val="0"/>
          <w:sz w:val="32"/>
          <w:szCs w:val="32"/>
        </w:rPr>
      </w:pPr>
      <w:r>
        <w:rPr>
          <w:rFonts w:hint="eastAsia" w:ascii="黑体" w:hAnsi="黑体" w:eastAsia="黑体" w:cs="黑体"/>
          <w:bCs/>
          <w:color w:val="auto"/>
          <w:kern w:val="0"/>
          <w:sz w:val="32"/>
          <w:szCs w:val="32"/>
        </w:rPr>
        <w:t>三、部门收支总体情况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color w:val="auto"/>
          <w:kern w:val="0"/>
          <w:sz w:val="32"/>
          <w:szCs w:val="32"/>
        </w:rPr>
      </w:pPr>
      <w:r>
        <w:rPr>
          <w:rFonts w:hint="eastAsia" w:ascii="仿宋" w:hAnsi="仿宋" w:eastAsia="仿宋" w:cs="仿宋"/>
          <w:bCs/>
          <w:color w:val="auto"/>
          <w:kern w:val="0"/>
          <w:sz w:val="32"/>
          <w:szCs w:val="32"/>
        </w:rPr>
        <w:t>2021年部门预算只包括本级预算情况。收入包括一般公共预算收入，支出保障本部门基本运行的经费。</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Cs/>
          <w:color w:val="auto"/>
          <w:kern w:val="0"/>
          <w:sz w:val="32"/>
          <w:szCs w:val="32"/>
        </w:rPr>
      </w:pPr>
      <w:r>
        <w:rPr>
          <w:rFonts w:hint="eastAsia" w:ascii="仿宋" w:hAnsi="仿宋" w:eastAsia="仿宋" w:cs="仿宋"/>
          <w:b/>
          <w:bCs w:val="0"/>
          <w:color w:val="auto"/>
          <w:kern w:val="0"/>
          <w:sz w:val="32"/>
          <w:szCs w:val="32"/>
        </w:rPr>
        <w:t>（一）收入预算</w:t>
      </w:r>
      <w:r>
        <w:rPr>
          <w:rFonts w:hint="eastAsia" w:ascii="仿宋" w:hAnsi="仿宋" w:eastAsia="仿宋" w:cs="仿宋"/>
          <w:b/>
          <w:bCs w:val="0"/>
          <w:color w:val="auto"/>
          <w:kern w:val="0"/>
          <w:sz w:val="32"/>
          <w:szCs w:val="32"/>
          <w:lang w:eastAsia="zh-CN"/>
        </w:rPr>
        <w:t>：</w:t>
      </w:r>
      <w:r>
        <w:rPr>
          <w:rFonts w:hint="eastAsia" w:ascii="仿宋" w:hAnsi="仿宋" w:eastAsia="仿宋" w:cs="仿宋"/>
          <w:bCs/>
          <w:color w:val="auto"/>
          <w:kern w:val="0"/>
          <w:sz w:val="32"/>
          <w:szCs w:val="32"/>
        </w:rPr>
        <w:t>2021年</w:t>
      </w:r>
      <w:r>
        <w:rPr>
          <w:rFonts w:hint="eastAsia" w:ascii="仿宋" w:hAnsi="仿宋" w:eastAsia="仿宋" w:cs="仿宋"/>
          <w:bCs/>
          <w:color w:val="auto"/>
          <w:kern w:val="0"/>
          <w:sz w:val="32"/>
          <w:szCs w:val="32"/>
          <w:lang w:eastAsia="zh-CN"/>
        </w:rPr>
        <w:t>本部门收入</w:t>
      </w:r>
      <w:r>
        <w:rPr>
          <w:rFonts w:hint="eastAsia" w:ascii="仿宋" w:hAnsi="仿宋" w:eastAsia="仿宋" w:cs="仿宋"/>
          <w:bCs/>
          <w:color w:val="auto"/>
          <w:kern w:val="0"/>
          <w:sz w:val="32"/>
          <w:szCs w:val="32"/>
        </w:rPr>
        <w:t>预算数549.22万元，其中，</w:t>
      </w:r>
      <w:r>
        <w:rPr>
          <w:rFonts w:hint="eastAsia" w:ascii="仿宋" w:hAnsi="仿宋" w:eastAsia="仿宋" w:cs="仿宋"/>
          <w:bCs/>
          <w:color w:val="auto"/>
          <w:kern w:val="0"/>
          <w:sz w:val="32"/>
          <w:szCs w:val="32"/>
          <w:highlight w:val="none"/>
        </w:rPr>
        <w:t>一般公共预算拨款</w:t>
      </w:r>
      <w:r>
        <w:rPr>
          <w:rFonts w:hint="eastAsia" w:ascii="仿宋" w:hAnsi="仿宋" w:eastAsia="仿宋" w:cs="仿宋"/>
          <w:bCs/>
          <w:color w:val="auto"/>
          <w:kern w:val="0"/>
          <w:sz w:val="32"/>
          <w:szCs w:val="32"/>
          <w:highlight w:val="none"/>
          <w:lang w:val="en-US" w:eastAsia="zh-CN"/>
        </w:rPr>
        <w:t>549.22</w:t>
      </w:r>
      <w:r>
        <w:rPr>
          <w:rFonts w:hint="eastAsia" w:ascii="仿宋" w:hAnsi="仿宋" w:eastAsia="仿宋" w:cs="仿宋"/>
          <w:bCs/>
          <w:color w:val="auto"/>
          <w:kern w:val="0"/>
          <w:sz w:val="32"/>
          <w:szCs w:val="32"/>
          <w:highlight w:val="none"/>
        </w:rPr>
        <w:t>万元</w:t>
      </w:r>
      <w:r>
        <w:rPr>
          <w:rFonts w:hint="eastAsia" w:ascii="仿宋" w:hAnsi="仿宋" w:eastAsia="仿宋" w:cs="仿宋"/>
          <w:bCs/>
          <w:color w:val="auto"/>
          <w:kern w:val="0"/>
          <w:sz w:val="32"/>
          <w:szCs w:val="32"/>
        </w:rPr>
        <w:t>，收入较去年增加42.89万元，</w:t>
      </w:r>
      <w:r>
        <w:rPr>
          <w:rFonts w:hint="eastAsia" w:ascii="仿宋" w:hAnsi="仿宋" w:eastAsia="仿宋" w:cs="仿宋"/>
          <w:bCs/>
          <w:color w:val="auto"/>
          <w:kern w:val="0"/>
          <w:sz w:val="32"/>
          <w:szCs w:val="32"/>
          <w:lang w:eastAsia="zh-CN"/>
        </w:rPr>
        <w:t>上升</w:t>
      </w:r>
      <w:r>
        <w:rPr>
          <w:rFonts w:hint="eastAsia" w:ascii="仿宋" w:hAnsi="仿宋" w:eastAsia="仿宋" w:cs="仿宋"/>
          <w:bCs/>
          <w:color w:val="auto"/>
          <w:kern w:val="0"/>
          <w:sz w:val="32"/>
          <w:szCs w:val="32"/>
          <w:lang w:val="en-US" w:eastAsia="zh-CN"/>
        </w:rPr>
        <w:t>8.47</w:t>
      </w:r>
      <w:r>
        <w:rPr>
          <w:rFonts w:hint="eastAsia" w:ascii="仿宋" w:hAnsi="仿宋" w:eastAsia="仿宋" w:cs="仿宋"/>
          <w:bCs/>
          <w:color w:val="auto"/>
          <w:kern w:val="0"/>
          <w:sz w:val="32"/>
          <w:szCs w:val="32"/>
          <w:lang w:val="en-US" w:eastAsia="zh-CN"/>
        </w:rPr>
        <w:t>%，</w:t>
      </w:r>
      <w:r>
        <w:rPr>
          <w:rFonts w:hint="eastAsia" w:ascii="仿宋" w:hAnsi="仿宋" w:eastAsia="仿宋" w:cs="仿宋"/>
          <w:bCs/>
          <w:color w:val="auto"/>
          <w:kern w:val="0"/>
          <w:sz w:val="32"/>
          <w:szCs w:val="32"/>
        </w:rPr>
        <w:t>主要增加工资福利支出42.89万元。</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Cs/>
          <w:color w:val="auto"/>
          <w:kern w:val="0"/>
          <w:sz w:val="32"/>
          <w:szCs w:val="32"/>
        </w:rPr>
      </w:pPr>
      <w:r>
        <w:rPr>
          <w:rFonts w:hint="eastAsia" w:ascii="仿宋" w:hAnsi="仿宋" w:eastAsia="仿宋" w:cs="仿宋"/>
          <w:b/>
          <w:bCs w:val="0"/>
          <w:color w:val="auto"/>
          <w:kern w:val="0"/>
          <w:sz w:val="32"/>
          <w:szCs w:val="32"/>
        </w:rPr>
        <w:t>（二）支出预算</w:t>
      </w:r>
      <w:r>
        <w:rPr>
          <w:rFonts w:hint="eastAsia" w:ascii="仿宋" w:hAnsi="仿宋" w:eastAsia="仿宋" w:cs="仿宋"/>
          <w:b/>
          <w:bCs w:val="0"/>
          <w:color w:val="auto"/>
          <w:kern w:val="0"/>
          <w:sz w:val="32"/>
          <w:szCs w:val="32"/>
          <w:lang w:eastAsia="zh-CN"/>
        </w:rPr>
        <w:t>：</w:t>
      </w:r>
      <w:r>
        <w:rPr>
          <w:rFonts w:hint="eastAsia" w:ascii="仿宋" w:hAnsi="仿宋" w:eastAsia="仿宋" w:cs="仿宋"/>
          <w:bCs/>
          <w:color w:val="auto"/>
          <w:kern w:val="0"/>
          <w:sz w:val="32"/>
          <w:szCs w:val="32"/>
        </w:rPr>
        <w:t>2021年</w:t>
      </w:r>
      <w:r>
        <w:rPr>
          <w:rFonts w:hint="eastAsia" w:ascii="仿宋" w:hAnsi="仿宋" w:eastAsia="仿宋" w:cs="仿宋"/>
          <w:bCs/>
          <w:color w:val="auto"/>
          <w:kern w:val="0"/>
          <w:sz w:val="32"/>
          <w:szCs w:val="32"/>
          <w:lang w:eastAsia="zh-CN"/>
        </w:rPr>
        <w:t>本部门支出</w:t>
      </w:r>
      <w:r>
        <w:rPr>
          <w:rFonts w:hint="eastAsia" w:ascii="仿宋" w:hAnsi="仿宋" w:eastAsia="仿宋" w:cs="仿宋"/>
          <w:bCs/>
          <w:color w:val="auto"/>
          <w:kern w:val="0"/>
          <w:sz w:val="32"/>
          <w:szCs w:val="32"/>
        </w:rPr>
        <w:t>预算数549.22万元，其中，农林水支出549.22万元，支出较去年增加42.89万元，</w:t>
      </w:r>
      <w:r>
        <w:rPr>
          <w:rFonts w:hint="eastAsia" w:ascii="仿宋" w:hAnsi="仿宋" w:eastAsia="仿宋" w:cs="仿宋"/>
          <w:bCs/>
          <w:color w:val="auto"/>
          <w:kern w:val="0"/>
          <w:sz w:val="32"/>
          <w:szCs w:val="32"/>
          <w:lang w:eastAsia="zh-CN"/>
        </w:rPr>
        <w:t>上升</w:t>
      </w:r>
      <w:r>
        <w:rPr>
          <w:rFonts w:hint="eastAsia" w:ascii="仿宋" w:hAnsi="仿宋" w:eastAsia="仿宋" w:cs="仿宋"/>
          <w:bCs/>
          <w:color w:val="auto"/>
          <w:kern w:val="0"/>
          <w:sz w:val="32"/>
          <w:szCs w:val="32"/>
          <w:lang w:val="en-US" w:eastAsia="zh-CN"/>
        </w:rPr>
        <w:t>8.47%</w:t>
      </w:r>
      <w:r>
        <w:rPr>
          <w:rFonts w:hint="eastAsia" w:ascii="仿宋" w:hAnsi="仿宋" w:eastAsia="仿宋" w:cs="仿宋"/>
          <w:bCs/>
          <w:color w:val="auto"/>
          <w:kern w:val="0"/>
          <w:sz w:val="32"/>
          <w:szCs w:val="32"/>
          <w:lang w:val="en-US" w:eastAsia="zh-CN"/>
        </w:rPr>
        <w:t>，</w:t>
      </w:r>
      <w:r>
        <w:rPr>
          <w:rFonts w:hint="eastAsia" w:ascii="仿宋" w:hAnsi="仿宋" w:eastAsia="仿宋" w:cs="仿宋"/>
          <w:bCs/>
          <w:color w:val="auto"/>
          <w:kern w:val="0"/>
          <w:sz w:val="32"/>
          <w:szCs w:val="32"/>
        </w:rPr>
        <w:t>主要是人员经费增加。</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Cs/>
          <w:color w:val="auto"/>
          <w:kern w:val="0"/>
          <w:sz w:val="32"/>
          <w:szCs w:val="32"/>
        </w:rPr>
      </w:pPr>
      <w:r>
        <w:rPr>
          <w:rFonts w:hint="eastAsia" w:ascii="黑体" w:hAnsi="黑体" w:eastAsia="黑体" w:cs="黑体"/>
          <w:bCs/>
          <w:color w:val="auto"/>
          <w:kern w:val="0"/>
          <w:sz w:val="32"/>
          <w:szCs w:val="32"/>
        </w:rPr>
        <w:t>四、一般公共预算拨款支出预算</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color w:val="auto"/>
          <w:kern w:val="0"/>
          <w:sz w:val="32"/>
          <w:szCs w:val="32"/>
        </w:rPr>
      </w:pPr>
      <w:r>
        <w:rPr>
          <w:rFonts w:hint="eastAsia" w:ascii="仿宋" w:hAnsi="仿宋" w:eastAsia="仿宋" w:cs="仿宋"/>
          <w:bCs/>
          <w:color w:val="auto"/>
          <w:kern w:val="0"/>
          <w:sz w:val="32"/>
          <w:szCs w:val="32"/>
        </w:rPr>
        <w:t>2021年一般公共预算拨款收入549.22万元，</w:t>
      </w:r>
      <w:r>
        <w:rPr>
          <w:rFonts w:hint="eastAsia" w:ascii="仿宋" w:hAnsi="仿宋" w:eastAsia="仿宋" w:cs="仿宋"/>
          <w:bCs/>
          <w:color w:val="auto"/>
          <w:kern w:val="0"/>
          <w:sz w:val="32"/>
          <w:szCs w:val="32"/>
          <w:lang w:eastAsia="zh-CN"/>
        </w:rPr>
        <w:t>其中，农林水支出</w:t>
      </w:r>
      <w:r>
        <w:rPr>
          <w:rFonts w:hint="eastAsia" w:ascii="仿宋" w:hAnsi="仿宋" w:eastAsia="仿宋" w:cs="仿宋"/>
          <w:bCs/>
          <w:color w:val="auto"/>
          <w:kern w:val="0"/>
          <w:sz w:val="32"/>
          <w:szCs w:val="32"/>
          <w:lang w:val="en-US" w:eastAsia="zh-CN"/>
        </w:rPr>
        <w:t>549.22万元，占100%，</w:t>
      </w:r>
      <w:r>
        <w:rPr>
          <w:rFonts w:hint="eastAsia" w:ascii="仿宋" w:hAnsi="仿宋" w:eastAsia="仿宋" w:cs="仿宋"/>
          <w:bCs/>
          <w:color w:val="auto"/>
          <w:kern w:val="0"/>
          <w:sz w:val="32"/>
          <w:szCs w:val="32"/>
        </w:rPr>
        <w:t>具体安排情况如下：</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Cs/>
          <w:color w:val="auto"/>
          <w:kern w:val="0"/>
          <w:sz w:val="32"/>
          <w:szCs w:val="32"/>
        </w:rPr>
      </w:pPr>
      <w:r>
        <w:rPr>
          <w:rFonts w:hint="eastAsia" w:ascii="仿宋" w:hAnsi="仿宋" w:eastAsia="仿宋" w:cs="仿宋"/>
          <w:b/>
          <w:bCs w:val="0"/>
          <w:color w:val="auto"/>
          <w:kern w:val="0"/>
          <w:sz w:val="32"/>
          <w:szCs w:val="32"/>
        </w:rPr>
        <w:t>（一）基本支出：</w:t>
      </w:r>
      <w:r>
        <w:rPr>
          <w:rFonts w:hint="eastAsia" w:ascii="仿宋" w:hAnsi="仿宋" w:eastAsia="仿宋" w:cs="仿宋"/>
          <w:bCs/>
          <w:color w:val="auto"/>
          <w:kern w:val="0"/>
          <w:sz w:val="32"/>
          <w:szCs w:val="32"/>
        </w:rPr>
        <w:t>2021年</w:t>
      </w:r>
      <w:r>
        <w:rPr>
          <w:rFonts w:hint="eastAsia" w:ascii="仿宋" w:hAnsi="仿宋" w:eastAsia="仿宋" w:cs="仿宋"/>
          <w:bCs/>
          <w:color w:val="auto"/>
          <w:kern w:val="0"/>
          <w:sz w:val="32"/>
          <w:szCs w:val="32"/>
          <w:lang w:eastAsia="zh-CN"/>
        </w:rPr>
        <w:t>基本支出</w:t>
      </w:r>
      <w:r>
        <w:rPr>
          <w:rFonts w:hint="eastAsia" w:ascii="仿宋" w:hAnsi="仿宋" w:eastAsia="仿宋" w:cs="仿宋"/>
          <w:bCs/>
          <w:color w:val="auto"/>
          <w:kern w:val="0"/>
          <w:sz w:val="32"/>
          <w:szCs w:val="32"/>
        </w:rPr>
        <w:t>预算数为549.22万元，是指为保障单位机构正常运转、完成日常工作任务而发生的各项支出，包括用于基本工资、津贴补贴等人员经费以及办公费、印刷费、水电费、办公设备购置等日常公用经费。</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Cs/>
          <w:color w:val="auto"/>
          <w:kern w:val="0"/>
          <w:sz w:val="32"/>
          <w:szCs w:val="32"/>
        </w:rPr>
      </w:pPr>
      <w:r>
        <w:rPr>
          <w:rFonts w:hint="eastAsia" w:ascii="仿宋" w:hAnsi="仿宋" w:eastAsia="仿宋" w:cs="仿宋"/>
          <w:b/>
          <w:bCs w:val="0"/>
          <w:color w:val="auto"/>
          <w:kern w:val="0"/>
          <w:sz w:val="32"/>
          <w:szCs w:val="32"/>
        </w:rPr>
        <w:t>（二）项目支出：</w:t>
      </w:r>
      <w:r>
        <w:rPr>
          <w:rFonts w:hint="eastAsia" w:ascii="仿宋" w:hAnsi="仿宋" w:eastAsia="仿宋" w:cs="仿宋"/>
          <w:bCs/>
          <w:color w:val="auto"/>
          <w:kern w:val="0"/>
          <w:sz w:val="32"/>
          <w:szCs w:val="32"/>
        </w:rPr>
        <w:t>无项目预算支出 。</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color w:val="auto"/>
          <w:sz w:val="32"/>
          <w:szCs w:val="32"/>
        </w:rPr>
      </w:pPr>
      <w:r>
        <w:rPr>
          <w:rFonts w:eastAsia="黑体"/>
          <w:color w:val="auto"/>
          <w:sz w:val="32"/>
          <w:szCs w:val="32"/>
        </w:rPr>
        <w:t>五、政府性基金预算支出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color w:val="auto"/>
          <w:kern w:val="0"/>
          <w:sz w:val="32"/>
          <w:szCs w:val="32"/>
        </w:rPr>
      </w:pPr>
      <w:r>
        <w:rPr>
          <w:rFonts w:hint="eastAsia" w:ascii="仿宋" w:hAnsi="仿宋" w:eastAsia="仿宋" w:cs="仿宋"/>
          <w:bCs/>
          <w:color w:val="auto"/>
          <w:kern w:val="0"/>
          <w:sz w:val="32"/>
          <w:szCs w:val="32"/>
        </w:rPr>
        <w:t>本部门无政府性基金安排的支出</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hint="eastAsia" w:eastAsia="黑体"/>
          <w:color w:val="auto"/>
          <w:sz w:val="32"/>
          <w:szCs w:val="32"/>
        </w:rPr>
      </w:pPr>
      <w:r>
        <w:rPr>
          <w:rFonts w:hint="eastAsia" w:eastAsia="黑体"/>
          <w:color w:val="auto"/>
          <w:sz w:val="32"/>
          <w:szCs w:val="32"/>
          <w:lang w:eastAsia="zh-CN"/>
        </w:rPr>
        <w:t>六</w:t>
      </w:r>
      <w:r>
        <w:rPr>
          <w:rFonts w:hint="eastAsia" w:eastAsia="黑体"/>
          <w:color w:val="auto"/>
          <w:sz w:val="32"/>
          <w:szCs w:val="32"/>
        </w:rPr>
        <w:t>、其他重要事项的情况说明</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Cs/>
          <w:color w:val="auto"/>
          <w:kern w:val="0"/>
          <w:sz w:val="32"/>
          <w:szCs w:val="32"/>
        </w:rPr>
      </w:pPr>
      <w:r>
        <w:rPr>
          <w:rFonts w:hint="eastAsia" w:ascii="仿宋" w:hAnsi="仿宋" w:eastAsia="仿宋" w:cs="仿宋"/>
          <w:b/>
          <w:color w:val="auto"/>
          <w:sz w:val="32"/>
          <w:szCs w:val="32"/>
        </w:rPr>
        <w:t>（一）机关运行经费：</w:t>
      </w:r>
      <w:r>
        <w:rPr>
          <w:rFonts w:hint="eastAsia" w:ascii="仿宋" w:hAnsi="仿宋" w:eastAsia="仿宋" w:cs="仿宋"/>
          <w:bCs/>
          <w:color w:val="auto"/>
          <w:kern w:val="0"/>
          <w:sz w:val="32"/>
          <w:szCs w:val="32"/>
        </w:rPr>
        <w:t>2021年本部门运行经费为当年一般公共预算拨款</w:t>
      </w:r>
      <w:r>
        <w:rPr>
          <w:rFonts w:hint="eastAsia" w:ascii="仿宋" w:hAnsi="仿宋" w:eastAsia="仿宋" w:cs="仿宋"/>
          <w:bCs/>
          <w:color w:val="auto"/>
          <w:kern w:val="0"/>
          <w:sz w:val="32"/>
          <w:szCs w:val="32"/>
          <w:lang w:val="en-US" w:eastAsia="zh-CN"/>
        </w:rPr>
        <w:t>13.65</w:t>
      </w:r>
      <w:r>
        <w:rPr>
          <w:rFonts w:hint="eastAsia" w:ascii="仿宋" w:hAnsi="仿宋" w:eastAsia="仿宋" w:cs="仿宋"/>
          <w:bCs/>
          <w:color w:val="auto"/>
          <w:kern w:val="0"/>
          <w:sz w:val="32"/>
          <w:szCs w:val="32"/>
        </w:rPr>
        <w:t>万元，比2020年减少</w:t>
      </w:r>
      <w:r>
        <w:rPr>
          <w:rFonts w:hint="eastAsia" w:ascii="仿宋" w:hAnsi="仿宋" w:eastAsia="仿宋" w:cs="仿宋"/>
          <w:bCs/>
          <w:color w:val="auto"/>
          <w:kern w:val="0"/>
          <w:sz w:val="32"/>
          <w:szCs w:val="32"/>
          <w:lang w:val="en-US" w:eastAsia="zh-CN"/>
        </w:rPr>
        <w:t>3.19</w:t>
      </w:r>
      <w:r>
        <w:rPr>
          <w:rFonts w:hint="eastAsia" w:ascii="仿宋" w:hAnsi="仿宋" w:eastAsia="仿宋" w:cs="仿宋"/>
          <w:bCs/>
          <w:color w:val="auto"/>
          <w:kern w:val="0"/>
          <w:sz w:val="32"/>
          <w:szCs w:val="32"/>
        </w:rPr>
        <w:t>万元，</w:t>
      </w:r>
      <w:r>
        <w:rPr>
          <w:rFonts w:hint="eastAsia" w:ascii="仿宋" w:hAnsi="仿宋" w:eastAsia="仿宋" w:cs="仿宋"/>
          <w:bCs/>
          <w:color w:val="auto"/>
          <w:kern w:val="0"/>
          <w:sz w:val="32"/>
          <w:szCs w:val="32"/>
          <w:lang w:eastAsia="zh-CN"/>
        </w:rPr>
        <w:t>降低</w:t>
      </w:r>
      <w:r>
        <w:rPr>
          <w:rFonts w:hint="eastAsia" w:ascii="仿宋" w:hAnsi="仿宋" w:eastAsia="仿宋" w:cs="仿宋"/>
          <w:bCs/>
          <w:color w:val="auto"/>
          <w:kern w:val="0"/>
          <w:sz w:val="32"/>
          <w:szCs w:val="32"/>
          <w:lang w:val="en-US" w:eastAsia="zh-CN"/>
        </w:rPr>
        <w:t>18.94%</w:t>
      </w:r>
      <w:r>
        <w:rPr>
          <w:rFonts w:hint="eastAsia" w:ascii="仿宋" w:hAnsi="仿宋" w:eastAsia="仿宋" w:cs="仿宋"/>
          <w:bCs/>
          <w:color w:val="auto"/>
          <w:kern w:val="0"/>
          <w:sz w:val="32"/>
          <w:szCs w:val="32"/>
          <w:lang w:val="en-US" w:eastAsia="zh-CN"/>
        </w:rPr>
        <w:t>，</w:t>
      </w:r>
      <w:r>
        <w:rPr>
          <w:rFonts w:hint="eastAsia" w:ascii="仿宋" w:hAnsi="仿宋" w:eastAsia="仿宋" w:cs="仿宋"/>
          <w:bCs/>
          <w:color w:val="auto"/>
          <w:kern w:val="0"/>
          <w:sz w:val="32"/>
          <w:szCs w:val="32"/>
        </w:rPr>
        <w:t>由于公车改革，无公务车。 </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Cs/>
          <w:color w:val="auto"/>
          <w:kern w:val="0"/>
          <w:sz w:val="32"/>
          <w:szCs w:val="32"/>
          <w:highlight w:val="none"/>
        </w:rPr>
      </w:pPr>
      <w:r>
        <w:rPr>
          <w:rFonts w:hint="eastAsia" w:ascii="仿宋" w:hAnsi="仿宋" w:eastAsia="仿宋" w:cs="仿宋"/>
          <w:b/>
          <w:color w:val="auto"/>
          <w:sz w:val="32"/>
          <w:szCs w:val="32"/>
        </w:rPr>
        <w:t>（二）“三公”经费预算</w:t>
      </w:r>
      <w:r>
        <w:rPr>
          <w:rFonts w:hint="eastAsia" w:ascii="仿宋" w:hAnsi="仿宋" w:eastAsia="仿宋" w:cs="仿宋"/>
          <w:b/>
          <w:color w:val="auto"/>
          <w:sz w:val="32"/>
          <w:szCs w:val="32"/>
          <w:lang w:eastAsia="zh-CN"/>
        </w:rPr>
        <w:t>：</w:t>
      </w:r>
      <w:r>
        <w:rPr>
          <w:rFonts w:hint="eastAsia" w:ascii="仿宋" w:hAnsi="仿宋" w:eastAsia="仿宋" w:cs="仿宋"/>
          <w:bCs/>
          <w:color w:val="auto"/>
          <w:kern w:val="0"/>
          <w:sz w:val="32"/>
          <w:szCs w:val="32"/>
        </w:rPr>
        <w:t>2021年“三公”经费预算数为0.8万元，其中，公务接待费0.8万元，公务用车购置及运行费0万元，</w:t>
      </w:r>
      <w:r>
        <w:rPr>
          <w:rFonts w:hint="eastAsia" w:ascii="仿宋" w:hAnsi="仿宋" w:eastAsia="仿宋" w:cs="仿宋"/>
          <w:color w:val="auto"/>
          <w:sz w:val="32"/>
          <w:szCs w:val="32"/>
        </w:rPr>
        <w:t>（其中，公务用车购置费 万元，公务用车运行费 万元）</w:t>
      </w:r>
      <w:r>
        <w:rPr>
          <w:rFonts w:hint="eastAsia" w:ascii="仿宋" w:hAnsi="仿宋" w:eastAsia="仿宋" w:cs="仿宋"/>
          <w:color w:val="auto"/>
          <w:sz w:val="32"/>
          <w:szCs w:val="32"/>
          <w:lang w:eastAsia="zh-CN"/>
        </w:rPr>
        <w:t>，</w:t>
      </w:r>
      <w:r>
        <w:rPr>
          <w:rFonts w:hint="eastAsia" w:ascii="仿宋" w:hAnsi="仿宋" w:eastAsia="仿宋" w:cs="仿宋"/>
          <w:bCs/>
          <w:color w:val="auto"/>
          <w:kern w:val="0"/>
          <w:sz w:val="32"/>
          <w:szCs w:val="32"/>
        </w:rPr>
        <w:t>因公出国（境）费 0万元。2021年“三公”经费预算与2020年减少</w:t>
      </w:r>
      <w:r>
        <w:rPr>
          <w:rFonts w:hint="eastAsia" w:ascii="仿宋" w:hAnsi="仿宋" w:eastAsia="仿宋" w:cs="仿宋"/>
          <w:bCs/>
          <w:color w:val="auto"/>
          <w:kern w:val="0"/>
          <w:sz w:val="32"/>
          <w:szCs w:val="32"/>
          <w:highlight w:val="none"/>
        </w:rPr>
        <w:t>3.</w:t>
      </w:r>
      <w:r>
        <w:rPr>
          <w:rFonts w:hint="eastAsia" w:ascii="仿宋" w:hAnsi="仿宋" w:eastAsia="仿宋" w:cs="仿宋"/>
          <w:bCs/>
          <w:color w:val="auto"/>
          <w:kern w:val="0"/>
          <w:sz w:val="32"/>
          <w:szCs w:val="32"/>
          <w:highlight w:val="none"/>
          <w:lang w:val="en-US" w:eastAsia="zh-CN"/>
        </w:rPr>
        <w:t>4</w:t>
      </w:r>
      <w:r>
        <w:rPr>
          <w:rFonts w:hint="eastAsia" w:ascii="仿宋" w:hAnsi="仿宋" w:eastAsia="仿宋" w:cs="仿宋"/>
          <w:bCs/>
          <w:color w:val="auto"/>
          <w:kern w:val="0"/>
          <w:sz w:val="32"/>
          <w:szCs w:val="32"/>
        </w:rPr>
        <w:t>万元</w:t>
      </w: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highlight w:val="none"/>
          <w:lang w:eastAsia="zh-CN"/>
        </w:rPr>
        <w:t>主要是公车改革，无公务车</w:t>
      </w:r>
      <w:r>
        <w:rPr>
          <w:rFonts w:hint="eastAsia" w:ascii="仿宋" w:hAnsi="仿宋" w:eastAsia="仿宋" w:cs="仿宋"/>
          <w:bCs/>
          <w:color w:val="auto"/>
          <w:kern w:val="0"/>
          <w:sz w:val="32"/>
          <w:szCs w:val="32"/>
          <w:highlight w:val="none"/>
        </w:rPr>
        <w:t>。</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0" w:leftChars="0" w:right="420" w:firstLine="639" w:firstLineChars="199"/>
        <w:jc w:val="both"/>
        <w:textAlignment w:val="auto"/>
        <w:rPr>
          <w:rFonts w:hint="eastAsia" w:ascii="仿宋" w:hAnsi="仿宋" w:eastAsia="仿宋" w:cs="仿宋"/>
          <w:bCs/>
          <w:color w:val="auto"/>
          <w:kern w:val="0"/>
          <w:sz w:val="32"/>
          <w:szCs w:val="32"/>
          <w:highlight w:val="none"/>
        </w:rPr>
      </w:pPr>
      <w:r>
        <w:rPr>
          <w:rFonts w:hint="eastAsia" w:ascii="仿宋" w:hAnsi="仿宋" w:eastAsia="仿宋" w:cs="仿宋"/>
          <w:b/>
          <w:color w:val="auto"/>
          <w:sz w:val="32"/>
          <w:szCs w:val="32"/>
          <w:highlight w:val="none"/>
        </w:rPr>
        <w:t>（三）一般性支出情况：</w:t>
      </w:r>
      <w:r>
        <w:rPr>
          <w:rFonts w:hint="eastAsia" w:ascii="仿宋" w:hAnsi="仿宋" w:eastAsia="仿宋" w:cs="仿宋"/>
          <w:b/>
          <w:color w:val="auto"/>
          <w:sz w:val="32"/>
          <w:szCs w:val="32"/>
          <w:highlight w:val="none"/>
          <w:lang w:val="en-US" w:eastAsia="zh-CN"/>
        </w:rPr>
        <w:t>2021</w:t>
      </w:r>
      <w:r>
        <w:rPr>
          <w:rFonts w:hint="eastAsia" w:ascii="仿宋" w:hAnsi="仿宋" w:eastAsia="仿宋" w:cs="仿宋"/>
          <w:color w:val="auto"/>
          <w:kern w:val="0"/>
          <w:sz w:val="32"/>
          <w:szCs w:val="32"/>
          <w:highlight w:val="none"/>
        </w:rPr>
        <w:t>年本</w:t>
      </w:r>
      <w:r>
        <w:rPr>
          <w:rFonts w:ascii="仿宋_GB2312" w:hAnsi="仿宋_GB2312" w:eastAsia="仿宋_GB2312" w:cs="仿宋_GB2312"/>
          <w:color w:val="auto"/>
          <w:sz w:val="32"/>
          <w:highlight w:val="none"/>
        </w:rPr>
        <w:t>会议费预算0万元；培训费预算0万元；未举办节庆、晚会、论坛、赛事等活动。</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Cs/>
          <w:color w:val="auto"/>
          <w:kern w:val="0"/>
          <w:sz w:val="32"/>
          <w:szCs w:val="32"/>
        </w:rPr>
      </w:pPr>
      <w:r>
        <w:rPr>
          <w:rFonts w:hint="eastAsia" w:ascii="仿宋" w:hAnsi="仿宋" w:eastAsia="仿宋" w:cs="仿宋"/>
          <w:b/>
          <w:color w:val="auto"/>
          <w:sz w:val="32"/>
          <w:szCs w:val="32"/>
          <w:lang w:eastAsia="zh-CN"/>
        </w:rPr>
        <w:t>（</w:t>
      </w:r>
      <w:r>
        <w:rPr>
          <w:rFonts w:hint="eastAsia" w:ascii="仿宋" w:hAnsi="仿宋" w:eastAsia="仿宋" w:cs="仿宋"/>
          <w:b/>
          <w:color w:val="auto"/>
          <w:sz w:val="32"/>
          <w:szCs w:val="32"/>
          <w:lang w:val="en-US" w:eastAsia="zh-CN"/>
        </w:rPr>
        <w:t>四）</w:t>
      </w:r>
      <w:r>
        <w:rPr>
          <w:rFonts w:hint="eastAsia" w:ascii="仿宋" w:hAnsi="仿宋" w:eastAsia="仿宋" w:cs="仿宋"/>
          <w:b/>
          <w:color w:val="auto"/>
          <w:sz w:val="32"/>
          <w:szCs w:val="32"/>
        </w:rPr>
        <w:t>政府采购情况：</w:t>
      </w:r>
      <w:r>
        <w:rPr>
          <w:rFonts w:hint="eastAsia" w:ascii="仿宋" w:hAnsi="仿宋" w:eastAsia="仿宋" w:cs="仿宋"/>
          <w:bCs/>
          <w:color w:val="auto"/>
          <w:kern w:val="0"/>
          <w:sz w:val="32"/>
          <w:szCs w:val="32"/>
        </w:rPr>
        <w:t>2021年本部门各单位政府采购预算总额0万元，其中，政府采购货物预算0万元；政府采购工程预算0万元；政府采购服务预算0万元。</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hint="eastAsia" w:ascii="仿宋" w:hAnsi="仿宋" w:eastAsia="仿宋" w:cs="仿宋"/>
          <w:bCs/>
          <w:color w:val="auto"/>
          <w:kern w:val="0"/>
          <w:sz w:val="32"/>
          <w:szCs w:val="32"/>
          <w:highlight w:val="none"/>
        </w:rPr>
      </w:pPr>
      <w:r>
        <w:rPr>
          <w:rFonts w:hint="eastAsia" w:ascii="仿宋" w:hAnsi="仿宋" w:eastAsia="仿宋" w:cs="仿宋"/>
          <w:b/>
          <w:color w:val="auto"/>
          <w:sz w:val="32"/>
          <w:szCs w:val="32"/>
        </w:rPr>
        <w:t>（五）国有资产占用使用及新增资产配置情况：</w:t>
      </w:r>
      <w:r>
        <w:rPr>
          <w:rFonts w:hint="eastAsia" w:ascii="仿宋" w:hAnsi="仿宋" w:eastAsia="仿宋" w:cs="仿宋"/>
          <w:color w:val="auto"/>
          <w:sz w:val="32"/>
          <w:szCs w:val="32"/>
          <w:highlight w:val="none"/>
        </w:rPr>
        <w:t>截至2020年12月底，本部门</w:t>
      </w:r>
      <w:r>
        <w:rPr>
          <w:rFonts w:hint="eastAsia" w:ascii="仿宋" w:hAnsi="仿宋" w:eastAsia="仿宋" w:cs="仿宋"/>
          <w:bCs/>
          <w:color w:val="auto"/>
          <w:kern w:val="0"/>
          <w:sz w:val="32"/>
          <w:szCs w:val="32"/>
          <w:highlight w:val="none"/>
        </w:rPr>
        <w:t>共有公务用车</w:t>
      </w:r>
      <w:r>
        <w:rPr>
          <w:rFonts w:hint="eastAsia" w:ascii="仿宋" w:hAnsi="仿宋" w:eastAsia="仿宋" w:cs="仿宋"/>
          <w:bCs/>
          <w:color w:val="auto"/>
          <w:kern w:val="0"/>
          <w:sz w:val="32"/>
          <w:szCs w:val="32"/>
          <w:highlight w:val="none"/>
          <w:lang w:val="en-US" w:eastAsia="zh-CN"/>
        </w:rPr>
        <w:t>0</w:t>
      </w:r>
      <w:r>
        <w:rPr>
          <w:rFonts w:hint="eastAsia" w:ascii="仿宋" w:hAnsi="仿宋" w:eastAsia="仿宋" w:cs="仿宋"/>
          <w:bCs/>
          <w:color w:val="auto"/>
          <w:kern w:val="0"/>
          <w:sz w:val="32"/>
          <w:szCs w:val="32"/>
          <w:highlight w:val="none"/>
        </w:rPr>
        <w:t>辆，其中，机要通信用车</w:t>
      </w:r>
      <w:r>
        <w:rPr>
          <w:rFonts w:hint="eastAsia" w:ascii="仿宋" w:hAnsi="仿宋" w:eastAsia="仿宋" w:cs="仿宋"/>
          <w:bCs/>
          <w:color w:val="auto"/>
          <w:kern w:val="0"/>
          <w:sz w:val="32"/>
          <w:szCs w:val="32"/>
          <w:highlight w:val="none"/>
          <w:lang w:val="en-US" w:eastAsia="zh-CN"/>
        </w:rPr>
        <w:t>0</w:t>
      </w:r>
      <w:r>
        <w:rPr>
          <w:rFonts w:hint="eastAsia" w:ascii="仿宋" w:hAnsi="仿宋" w:eastAsia="仿宋" w:cs="仿宋"/>
          <w:bCs/>
          <w:color w:val="auto"/>
          <w:kern w:val="0"/>
          <w:sz w:val="32"/>
          <w:szCs w:val="32"/>
          <w:highlight w:val="none"/>
        </w:rPr>
        <w:t>辆，应急保障用车</w:t>
      </w:r>
      <w:r>
        <w:rPr>
          <w:rFonts w:hint="eastAsia" w:ascii="仿宋" w:hAnsi="仿宋" w:eastAsia="仿宋" w:cs="仿宋"/>
          <w:bCs/>
          <w:color w:val="auto"/>
          <w:kern w:val="0"/>
          <w:sz w:val="32"/>
          <w:szCs w:val="32"/>
          <w:highlight w:val="none"/>
          <w:lang w:val="en-US" w:eastAsia="zh-CN"/>
        </w:rPr>
        <w:t>0</w:t>
      </w:r>
      <w:r>
        <w:rPr>
          <w:rFonts w:hint="eastAsia" w:ascii="仿宋" w:hAnsi="仿宋" w:eastAsia="仿宋" w:cs="仿宋"/>
          <w:bCs/>
          <w:color w:val="auto"/>
          <w:kern w:val="0"/>
          <w:sz w:val="32"/>
          <w:szCs w:val="32"/>
          <w:highlight w:val="none"/>
        </w:rPr>
        <w:t>辆，执法执勤用车</w:t>
      </w:r>
      <w:r>
        <w:rPr>
          <w:rFonts w:hint="eastAsia" w:ascii="仿宋" w:hAnsi="仿宋" w:eastAsia="仿宋" w:cs="仿宋"/>
          <w:bCs/>
          <w:color w:val="auto"/>
          <w:kern w:val="0"/>
          <w:sz w:val="32"/>
          <w:szCs w:val="32"/>
          <w:highlight w:val="none"/>
          <w:lang w:val="en-US" w:eastAsia="zh-CN"/>
        </w:rPr>
        <w:t>0</w:t>
      </w:r>
      <w:r>
        <w:rPr>
          <w:rFonts w:hint="eastAsia" w:ascii="仿宋" w:hAnsi="仿宋" w:eastAsia="仿宋" w:cs="仿宋"/>
          <w:bCs/>
          <w:color w:val="auto"/>
          <w:kern w:val="0"/>
          <w:sz w:val="32"/>
          <w:szCs w:val="32"/>
          <w:highlight w:val="none"/>
        </w:rPr>
        <w:t>辆，特种专业技术用车</w:t>
      </w:r>
      <w:r>
        <w:rPr>
          <w:rFonts w:hint="eastAsia" w:ascii="仿宋" w:hAnsi="仿宋" w:eastAsia="仿宋" w:cs="仿宋"/>
          <w:bCs/>
          <w:color w:val="auto"/>
          <w:kern w:val="0"/>
          <w:sz w:val="32"/>
          <w:szCs w:val="32"/>
          <w:highlight w:val="none"/>
          <w:lang w:val="en-US" w:eastAsia="zh-CN"/>
        </w:rPr>
        <w:t>0</w:t>
      </w:r>
      <w:r>
        <w:rPr>
          <w:rFonts w:hint="eastAsia" w:ascii="仿宋" w:hAnsi="仿宋" w:eastAsia="仿宋" w:cs="仿宋"/>
          <w:bCs/>
          <w:color w:val="auto"/>
          <w:kern w:val="0"/>
          <w:sz w:val="32"/>
          <w:szCs w:val="32"/>
          <w:highlight w:val="none"/>
        </w:rPr>
        <w:t>辆，其他按照规定配备的公务用车</w:t>
      </w:r>
      <w:r>
        <w:rPr>
          <w:rFonts w:hint="eastAsia" w:ascii="仿宋" w:hAnsi="仿宋" w:eastAsia="仿宋" w:cs="仿宋"/>
          <w:bCs/>
          <w:color w:val="auto"/>
          <w:kern w:val="0"/>
          <w:sz w:val="32"/>
          <w:szCs w:val="32"/>
          <w:highlight w:val="none"/>
          <w:lang w:val="en-US" w:eastAsia="zh-CN"/>
        </w:rPr>
        <w:t>0</w:t>
      </w:r>
      <w:r>
        <w:rPr>
          <w:rFonts w:hint="eastAsia" w:ascii="仿宋" w:hAnsi="仿宋" w:eastAsia="仿宋" w:cs="仿宋"/>
          <w:bCs/>
          <w:color w:val="auto"/>
          <w:kern w:val="0"/>
          <w:sz w:val="32"/>
          <w:szCs w:val="32"/>
          <w:highlight w:val="none"/>
        </w:rPr>
        <w:t>辆；单位价值50万元以上通用设备</w:t>
      </w:r>
      <w:r>
        <w:rPr>
          <w:rFonts w:hint="eastAsia" w:ascii="仿宋" w:hAnsi="仿宋" w:eastAsia="仿宋" w:cs="仿宋"/>
          <w:bCs/>
          <w:color w:val="auto"/>
          <w:kern w:val="0"/>
          <w:sz w:val="32"/>
          <w:szCs w:val="32"/>
          <w:highlight w:val="none"/>
          <w:lang w:val="en-US" w:eastAsia="zh-CN"/>
        </w:rPr>
        <w:t>0</w:t>
      </w:r>
      <w:r>
        <w:rPr>
          <w:rFonts w:hint="eastAsia" w:ascii="仿宋" w:hAnsi="仿宋" w:eastAsia="仿宋" w:cs="仿宋"/>
          <w:bCs/>
          <w:color w:val="auto"/>
          <w:kern w:val="0"/>
          <w:sz w:val="32"/>
          <w:szCs w:val="32"/>
          <w:highlight w:val="none"/>
        </w:rPr>
        <w:t>台，单位价值100万元以上专用设备</w:t>
      </w:r>
      <w:r>
        <w:rPr>
          <w:rFonts w:hint="eastAsia" w:ascii="仿宋" w:hAnsi="仿宋" w:eastAsia="仿宋" w:cs="仿宋"/>
          <w:bCs/>
          <w:color w:val="auto"/>
          <w:kern w:val="0"/>
          <w:sz w:val="32"/>
          <w:szCs w:val="32"/>
          <w:highlight w:val="none"/>
          <w:lang w:val="en-US" w:eastAsia="zh-CN"/>
        </w:rPr>
        <w:t>0</w:t>
      </w:r>
      <w:r>
        <w:rPr>
          <w:rFonts w:hint="eastAsia" w:ascii="仿宋" w:hAnsi="仿宋" w:eastAsia="仿宋" w:cs="仿宋"/>
          <w:bCs/>
          <w:color w:val="auto"/>
          <w:kern w:val="0"/>
          <w:sz w:val="32"/>
          <w:szCs w:val="32"/>
          <w:highlight w:val="none"/>
        </w:rPr>
        <w:t>台。</w:t>
      </w:r>
      <w:r>
        <w:rPr>
          <w:rFonts w:hint="eastAsia" w:ascii="仿宋" w:hAnsi="仿宋" w:eastAsia="仿宋" w:cs="仿宋"/>
          <w:bCs/>
          <w:color w:val="auto"/>
          <w:kern w:val="0"/>
          <w:sz w:val="32"/>
          <w:szCs w:val="32"/>
          <w:highlight w:val="none"/>
          <w:lang w:val="en-US" w:eastAsia="zh-CN"/>
        </w:rPr>
        <w:t>2021</w:t>
      </w:r>
      <w:r>
        <w:rPr>
          <w:rFonts w:hint="eastAsia" w:ascii="仿宋" w:hAnsi="仿宋" w:eastAsia="仿宋" w:cs="仿宋"/>
          <w:bCs/>
          <w:color w:val="auto"/>
          <w:kern w:val="0"/>
          <w:sz w:val="32"/>
          <w:szCs w:val="32"/>
          <w:highlight w:val="none"/>
        </w:rPr>
        <w:t>年拟新增配置公务用车</w:t>
      </w:r>
      <w:r>
        <w:rPr>
          <w:rFonts w:hint="eastAsia" w:ascii="仿宋" w:hAnsi="仿宋" w:eastAsia="仿宋" w:cs="仿宋"/>
          <w:bCs/>
          <w:color w:val="auto"/>
          <w:kern w:val="0"/>
          <w:sz w:val="32"/>
          <w:szCs w:val="32"/>
          <w:highlight w:val="none"/>
          <w:lang w:val="en-US" w:eastAsia="zh-CN"/>
        </w:rPr>
        <w:t>0</w:t>
      </w:r>
      <w:r>
        <w:rPr>
          <w:rFonts w:hint="eastAsia" w:ascii="仿宋" w:hAnsi="仿宋" w:eastAsia="仿宋" w:cs="仿宋"/>
          <w:bCs/>
          <w:color w:val="auto"/>
          <w:kern w:val="0"/>
          <w:sz w:val="32"/>
          <w:szCs w:val="32"/>
          <w:highlight w:val="none"/>
        </w:rPr>
        <w:t>辆，其中，机要通信用车</w:t>
      </w:r>
      <w:r>
        <w:rPr>
          <w:rFonts w:hint="eastAsia" w:ascii="仿宋" w:hAnsi="仿宋" w:eastAsia="仿宋" w:cs="仿宋"/>
          <w:bCs/>
          <w:color w:val="auto"/>
          <w:kern w:val="0"/>
          <w:sz w:val="32"/>
          <w:szCs w:val="32"/>
          <w:highlight w:val="none"/>
          <w:lang w:val="en-US" w:eastAsia="zh-CN"/>
        </w:rPr>
        <w:t>0</w:t>
      </w:r>
      <w:r>
        <w:rPr>
          <w:rFonts w:hint="eastAsia" w:ascii="仿宋" w:hAnsi="仿宋" w:eastAsia="仿宋" w:cs="仿宋"/>
          <w:bCs/>
          <w:color w:val="auto"/>
          <w:kern w:val="0"/>
          <w:sz w:val="32"/>
          <w:szCs w:val="32"/>
          <w:highlight w:val="none"/>
        </w:rPr>
        <w:t>辆，应急保障用车</w:t>
      </w:r>
      <w:r>
        <w:rPr>
          <w:rFonts w:hint="eastAsia" w:ascii="仿宋" w:hAnsi="仿宋" w:eastAsia="仿宋" w:cs="仿宋"/>
          <w:bCs/>
          <w:color w:val="auto"/>
          <w:kern w:val="0"/>
          <w:sz w:val="32"/>
          <w:szCs w:val="32"/>
          <w:highlight w:val="none"/>
          <w:lang w:val="en-US" w:eastAsia="zh-CN"/>
        </w:rPr>
        <w:t>0</w:t>
      </w:r>
      <w:r>
        <w:rPr>
          <w:rFonts w:hint="eastAsia" w:ascii="仿宋" w:hAnsi="仿宋" w:eastAsia="仿宋" w:cs="仿宋"/>
          <w:bCs/>
          <w:color w:val="auto"/>
          <w:kern w:val="0"/>
          <w:sz w:val="32"/>
          <w:szCs w:val="32"/>
          <w:highlight w:val="none"/>
        </w:rPr>
        <w:t>辆，执法执勤用车</w:t>
      </w:r>
      <w:r>
        <w:rPr>
          <w:rFonts w:hint="eastAsia" w:ascii="仿宋" w:hAnsi="仿宋" w:eastAsia="仿宋" w:cs="仿宋"/>
          <w:bCs/>
          <w:color w:val="auto"/>
          <w:kern w:val="0"/>
          <w:sz w:val="32"/>
          <w:szCs w:val="32"/>
          <w:highlight w:val="none"/>
          <w:lang w:val="en-US" w:eastAsia="zh-CN"/>
        </w:rPr>
        <w:t>0</w:t>
      </w:r>
      <w:r>
        <w:rPr>
          <w:rFonts w:hint="eastAsia" w:ascii="仿宋" w:hAnsi="仿宋" w:eastAsia="仿宋" w:cs="仿宋"/>
          <w:bCs/>
          <w:color w:val="auto"/>
          <w:kern w:val="0"/>
          <w:sz w:val="32"/>
          <w:szCs w:val="32"/>
          <w:highlight w:val="none"/>
        </w:rPr>
        <w:t>辆，特种专业技术用车</w:t>
      </w:r>
      <w:r>
        <w:rPr>
          <w:rFonts w:hint="eastAsia" w:ascii="仿宋" w:hAnsi="仿宋" w:eastAsia="仿宋" w:cs="仿宋"/>
          <w:bCs/>
          <w:color w:val="auto"/>
          <w:kern w:val="0"/>
          <w:sz w:val="32"/>
          <w:szCs w:val="32"/>
          <w:highlight w:val="none"/>
          <w:lang w:val="en-US" w:eastAsia="zh-CN"/>
        </w:rPr>
        <w:t>0</w:t>
      </w:r>
      <w:r>
        <w:rPr>
          <w:rFonts w:hint="eastAsia" w:ascii="仿宋" w:hAnsi="仿宋" w:eastAsia="仿宋" w:cs="仿宋"/>
          <w:bCs/>
          <w:color w:val="auto"/>
          <w:kern w:val="0"/>
          <w:sz w:val="32"/>
          <w:szCs w:val="32"/>
          <w:highlight w:val="none"/>
        </w:rPr>
        <w:t>辆，其他按照规定配备的公务用车</w:t>
      </w:r>
      <w:r>
        <w:rPr>
          <w:rFonts w:hint="eastAsia" w:ascii="仿宋" w:hAnsi="仿宋" w:eastAsia="仿宋" w:cs="仿宋"/>
          <w:bCs/>
          <w:color w:val="auto"/>
          <w:kern w:val="0"/>
          <w:sz w:val="32"/>
          <w:szCs w:val="32"/>
          <w:highlight w:val="none"/>
          <w:lang w:val="en-US" w:eastAsia="zh-CN"/>
        </w:rPr>
        <w:t>0</w:t>
      </w:r>
      <w:r>
        <w:rPr>
          <w:rFonts w:hint="eastAsia" w:ascii="仿宋" w:hAnsi="仿宋" w:eastAsia="仿宋" w:cs="仿宋"/>
          <w:bCs/>
          <w:color w:val="auto"/>
          <w:kern w:val="0"/>
          <w:sz w:val="32"/>
          <w:szCs w:val="32"/>
          <w:highlight w:val="none"/>
        </w:rPr>
        <w:t>辆；新增配备单位价值50万元以上通用设备</w:t>
      </w:r>
      <w:r>
        <w:rPr>
          <w:rFonts w:hint="eastAsia" w:ascii="仿宋" w:hAnsi="仿宋" w:eastAsia="仿宋" w:cs="仿宋"/>
          <w:bCs/>
          <w:color w:val="auto"/>
          <w:kern w:val="0"/>
          <w:sz w:val="32"/>
          <w:szCs w:val="32"/>
          <w:highlight w:val="none"/>
          <w:lang w:val="en-US" w:eastAsia="zh-CN"/>
        </w:rPr>
        <w:t>0</w:t>
      </w:r>
      <w:r>
        <w:rPr>
          <w:rFonts w:hint="eastAsia" w:ascii="仿宋" w:hAnsi="仿宋" w:eastAsia="仿宋" w:cs="仿宋"/>
          <w:bCs/>
          <w:color w:val="auto"/>
          <w:kern w:val="0"/>
          <w:sz w:val="32"/>
          <w:szCs w:val="32"/>
          <w:highlight w:val="none"/>
        </w:rPr>
        <w:t>台，单位价值100万元以上专用设备</w:t>
      </w:r>
      <w:r>
        <w:rPr>
          <w:rFonts w:hint="eastAsia" w:ascii="仿宋" w:hAnsi="仿宋" w:eastAsia="仿宋" w:cs="仿宋"/>
          <w:bCs/>
          <w:color w:val="auto"/>
          <w:kern w:val="0"/>
          <w:sz w:val="32"/>
          <w:szCs w:val="32"/>
          <w:highlight w:val="none"/>
          <w:lang w:val="en-US" w:eastAsia="zh-CN"/>
        </w:rPr>
        <w:t>0</w:t>
      </w:r>
      <w:r>
        <w:rPr>
          <w:rFonts w:hint="eastAsia" w:ascii="仿宋" w:hAnsi="仿宋" w:eastAsia="仿宋" w:cs="仿宋"/>
          <w:bCs/>
          <w:color w:val="auto"/>
          <w:kern w:val="0"/>
          <w:sz w:val="32"/>
          <w:szCs w:val="32"/>
          <w:highlight w:val="none"/>
        </w:rPr>
        <w:t>台。</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Cs/>
          <w:color w:val="auto"/>
          <w:kern w:val="0"/>
          <w:sz w:val="32"/>
          <w:szCs w:val="32"/>
        </w:rPr>
      </w:pPr>
      <w:r>
        <w:rPr>
          <w:rFonts w:hint="eastAsia" w:ascii="仿宋" w:hAnsi="仿宋" w:eastAsia="仿宋" w:cs="仿宋"/>
          <w:b/>
          <w:bCs/>
          <w:color w:val="auto"/>
          <w:kern w:val="0"/>
          <w:sz w:val="32"/>
          <w:szCs w:val="32"/>
        </w:rPr>
        <w:t>（六）预算绩效目标说明：</w:t>
      </w:r>
      <w:r>
        <w:rPr>
          <w:rFonts w:hint="eastAsia" w:ascii="仿宋" w:hAnsi="仿宋" w:eastAsia="仿宋" w:cs="仿宋"/>
          <w:bCs/>
          <w:color w:val="auto"/>
          <w:kern w:val="0"/>
          <w:sz w:val="32"/>
          <w:szCs w:val="32"/>
        </w:rPr>
        <w:t>按照市本级预算绩效管理工作的总体要求，2021年本部门整体支出</w:t>
      </w:r>
      <w:r>
        <w:rPr>
          <w:rFonts w:hint="default" w:ascii="仿宋" w:hAnsi="仿宋" w:eastAsia="仿宋" w:cs="仿宋"/>
          <w:bCs/>
          <w:color w:val="auto"/>
          <w:kern w:val="0"/>
          <w:sz w:val="32"/>
          <w:szCs w:val="32"/>
          <w:lang w:val="en-US"/>
        </w:rPr>
        <w:t>549.22</w:t>
      </w:r>
      <w:r>
        <w:rPr>
          <w:rFonts w:hint="eastAsia" w:ascii="仿宋" w:hAnsi="仿宋" w:eastAsia="仿宋" w:cs="仿宋"/>
          <w:bCs/>
          <w:color w:val="auto"/>
          <w:kern w:val="0"/>
          <w:sz w:val="32"/>
          <w:szCs w:val="32"/>
        </w:rPr>
        <w:t>万元，</w:t>
      </w:r>
      <w:r>
        <w:rPr>
          <w:rFonts w:hint="eastAsia" w:ascii="仿宋" w:hAnsi="仿宋" w:eastAsia="仿宋" w:cs="仿宋"/>
          <w:bCs/>
          <w:color w:val="auto"/>
          <w:kern w:val="0"/>
          <w:sz w:val="32"/>
          <w:szCs w:val="32"/>
        </w:rPr>
        <w:t>其中，基本支出</w:t>
      </w:r>
      <w:r>
        <w:rPr>
          <w:rFonts w:hint="default" w:ascii="仿宋" w:hAnsi="仿宋" w:eastAsia="仿宋" w:cs="仿宋"/>
          <w:bCs/>
          <w:color w:val="auto"/>
          <w:kern w:val="0"/>
          <w:sz w:val="32"/>
          <w:szCs w:val="32"/>
          <w:lang w:val="en-US"/>
        </w:rPr>
        <w:t>549.22</w:t>
      </w:r>
      <w:r>
        <w:rPr>
          <w:rFonts w:hint="eastAsia" w:ascii="仿宋" w:hAnsi="仿宋" w:eastAsia="仿宋" w:cs="仿宋"/>
          <w:bCs/>
          <w:color w:val="auto"/>
          <w:kern w:val="0"/>
          <w:sz w:val="32"/>
          <w:szCs w:val="32"/>
        </w:rPr>
        <w:t>万元，项目支出</w:t>
      </w:r>
      <w:r>
        <w:rPr>
          <w:rFonts w:hint="eastAsia" w:ascii="仿宋" w:hAnsi="仿宋" w:eastAsia="仿宋" w:cs="仿宋"/>
          <w:bCs/>
          <w:color w:val="auto"/>
          <w:kern w:val="0"/>
          <w:sz w:val="32"/>
          <w:szCs w:val="32"/>
          <w:lang w:val="en-US" w:eastAsia="zh-CN"/>
        </w:rPr>
        <w:t>0</w:t>
      </w:r>
      <w:r>
        <w:rPr>
          <w:rFonts w:hint="eastAsia" w:ascii="仿宋" w:hAnsi="仿宋" w:eastAsia="仿宋" w:cs="仿宋"/>
          <w:bCs/>
          <w:color w:val="auto"/>
          <w:kern w:val="0"/>
          <w:sz w:val="32"/>
          <w:szCs w:val="32"/>
        </w:rPr>
        <w:t>万元</w:t>
      </w: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rPr>
        <w:t>全部实行整体支出绩效目标管理。 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Cs/>
          <w:color w:val="auto"/>
          <w:kern w:val="0"/>
          <w:sz w:val="32"/>
          <w:szCs w:val="32"/>
        </w:rPr>
      </w:pPr>
      <w:r>
        <w:rPr>
          <w:rFonts w:hint="eastAsia" w:ascii="黑体" w:hAnsi="黑体" w:eastAsia="黑体" w:cs="黑体"/>
          <w:bCs/>
          <w:color w:val="auto"/>
          <w:kern w:val="0"/>
          <w:sz w:val="32"/>
          <w:szCs w:val="32"/>
          <w:lang w:eastAsia="zh-CN"/>
        </w:rPr>
        <w:t>七</w:t>
      </w:r>
      <w:r>
        <w:rPr>
          <w:rFonts w:hint="eastAsia" w:ascii="黑体" w:hAnsi="黑体" w:eastAsia="黑体" w:cs="黑体"/>
          <w:bCs/>
          <w:color w:val="auto"/>
          <w:kern w:val="0"/>
          <w:sz w:val="32"/>
          <w:szCs w:val="32"/>
        </w:rPr>
        <w:t>、名词解释</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color w:val="auto"/>
          <w:kern w:val="0"/>
          <w:sz w:val="32"/>
          <w:szCs w:val="32"/>
        </w:rPr>
      </w:pPr>
      <w:r>
        <w:rPr>
          <w:rFonts w:hint="eastAsia" w:ascii="仿宋" w:hAnsi="仿宋" w:eastAsia="仿宋" w:cs="仿宋"/>
          <w:bCs/>
          <w:color w:val="auto"/>
          <w:kern w:val="0"/>
          <w:sz w:val="32"/>
          <w:szCs w:val="32"/>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color w:val="auto"/>
          <w:kern w:val="0"/>
          <w:sz w:val="32"/>
          <w:szCs w:val="32"/>
        </w:rPr>
      </w:pPr>
      <w:r>
        <w:rPr>
          <w:rFonts w:hint="eastAsia" w:ascii="仿宋" w:hAnsi="仿宋" w:eastAsia="仿宋" w:cs="仿宋"/>
          <w:bCs/>
          <w:color w:val="auto"/>
          <w:kern w:val="0"/>
          <w:sz w:val="32"/>
          <w:szCs w:val="32"/>
        </w:rPr>
        <w:t>2、“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color w:val="auto"/>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仿宋" w:hAnsi="仿宋" w:eastAsia="仿宋" w:cs="仿宋"/>
          <w:b/>
          <w:bCs w:val="0"/>
          <w:color w:val="auto"/>
          <w:kern w:val="0"/>
          <w:sz w:val="36"/>
          <w:szCs w:val="36"/>
        </w:rPr>
      </w:pPr>
      <w:r>
        <w:rPr>
          <w:rFonts w:hint="eastAsia" w:ascii="黑体" w:hAnsi="黑体" w:eastAsia="黑体" w:cs="黑体"/>
          <w:b/>
          <w:bCs w:val="0"/>
          <w:color w:val="auto"/>
          <w:kern w:val="0"/>
          <w:sz w:val="44"/>
          <w:szCs w:val="44"/>
        </w:rPr>
        <w:t>第二部分 2021年部门预算表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color w:val="auto"/>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A0957C"/>
    <w:multiLevelType w:val="singleLevel"/>
    <w:tmpl w:val="19A0957C"/>
    <w:lvl w:ilvl="0" w:tentative="0">
      <w:start w:val="1"/>
      <w:numFmt w:val="chineseCounting"/>
      <w:suff w:val="space"/>
      <w:lvlText w:val="第%1部分"/>
      <w:lvlJc w:val="left"/>
      <w:rPr>
        <w:rFonts w:hint="eastAsia"/>
      </w:rPr>
    </w:lvl>
  </w:abstractNum>
  <w:abstractNum w:abstractNumId="1">
    <w:nsid w:val="7EFB1883"/>
    <w:multiLevelType w:val="singleLevel"/>
    <w:tmpl w:val="7EFB1883"/>
    <w:lvl w:ilvl="0" w:tentative="0">
      <w:start w:val="1"/>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Y3YzU0MDhlMGQ3YTE2MjlhYTg0YjE0ZTdiOGZjNGEifQ=="/>
  </w:docVars>
  <w:rsids>
    <w:rsidRoot w:val="00000000"/>
    <w:rsid w:val="43DC00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8"/>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3">
    <w:name w:val="Body Text"/>
    <w:basedOn w:val="1"/>
    <w:qFormat/>
    <w:uiPriority w:val="1"/>
    <w:rPr>
      <w:sz w:val="32"/>
      <w:szCs w:val="32"/>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标题 3 Char"/>
    <w:basedOn w:val="6"/>
    <w:link w:val="2"/>
    <w:qFormat/>
    <w:uiPriority w:val="9"/>
    <w:rPr>
      <w:rFonts w:ascii="宋体" w:hAnsi="宋体" w:eastAsia="宋体" w:cs="宋体"/>
      <w:b/>
      <w:bCs/>
      <w:kern w:val="0"/>
      <w:sz w:val="27"/>
      <w:szCs w:val="27"/>
    </w:rPr>
  </w:style>
  <w:style w:type="character" w:customStyle="1" w:styleId="9">
    <w:name w:val="kf_sj"/>
    <w:basedOn w:val="6"/>
    <w:qFormat/>
    <w:uiPriority w:val="0"/>
  </w:style>
  <w:style w:type="character" w:customStyle="1" w:styleId="10">
    <w:name w:val="kf_ly"/>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1928</Words>
  <Characters>2099</Characters>
  <Lines>14</Lines>
  <Paragraphs>4</Paragraphs>
  <TotalTime>0</TotalTime>
  <ScaleCrop>false</ScaleCrop>
  <LinksUpToDate>false</LinksUpToDate>
  <CharactersWithSpaces>2106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2022-06-28T22:02:00Z</dcterms:created>
  <dc:creator>Administrator</dc:creator>
  <cp:lastModifiedBy>嫣然一笑</cp:lastModifiedBy>
  <dcterms:modified xsi:type="dcterms:W3CDTF">2022-08-19T02:30:28Z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B8A02CA2F9614057935295F3BAAA4938</vt:lpwstr>
  </property>
</Properties>
</file>