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lang w:eastAsia="zh-CN"/>
        </w:rPr>
        <w:t>重点项目</w:t>
      </w:r>
      <w:r>
        <w:rPr>
          <w:rFonts w:hint="eastAsia" w:ascii="方正小标宋简体" w:eastAsia="方正小标宋简体"/>
          <w:sz w:val="44"/>
          <w:szCs w:val="44"/>
        </w:rPr>
        <w:t>绩效自评报告</w:t>
      </w:r>
    </w:p>
    <w:p>
      <w:pPr>
        <w:jc w:val="center"/>
        <w:rPr>
          <w:rFonts w:hint="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ascii="Times New Roman" w:hAnsi="Times New Roman" w:eastAsia="黑体" w:cs="Times New Roman"/>
          <w:sz w:val="32"/>
          <w:szCs w:val="32"/>
        </w:rPr>
      </w:pPr>
      <w:r>
        <w:rPr>
          <w:rFonts w:hint="eastAsia" w:ascii="仿宋_GB2312"/>
          <w:color w:val="000000"/>
        </w:rPr>
        <w:t xml:space="preserve"> </w:t>
      </w: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项目支出</w:t>
      </w:r>
      <w:r>
        <w:rPr>
          <w:rFonts w:ascii="Times New Roman" w:hAnsi="Times New Roman" w:eastAsia="黑体" w:cs="Times New Roman"/>
          <w:sz w:val="32"/>
          <w:szCs w:val="32"/>
        </w:rPr>
        <w:t>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楷体_GB2312" w:cs="Times New Roman"/>
          <w:b w:val="0"/>
          <w:bCs/>
          <w:sz w:val="32"/>
          <w:szCs w:val="32"/>
        </w:rPr>
      </w:pPr>
      <w:r>
        <w:rPr>
          <w:rFonts w:ascii="Times New Roman" w:hAnsi="Times New Roman" w:eastAsia="楷体_GB2312" w:cs="Times New Roman"/>
          <w:b w:val="0"/>
          <w:bCs/>
          <w:sz w:val="32"/>
          <w:szCs w:val="32"/>
        </w:rPr>
        <w:t>（一）</w:t>
      </w:r>
      <w:r>
        <w:rPr>
          <w:rFonts w:hint="eastAsia" w:ascii="Times New Roman" w:hAnsi="Times New Roman" w:eastAsia="楷体_GB2312" w:cs="Times New Roman"/>
          <w:b w:val="0"/>
          <w:bCs/>
          <w:sz w:val="32"/>
          <w:szCs w:val="32"/>
          <w:lang w:eastAsia="zh-CN"/>
        </w:rPr>
        <w:t>项目支出</w:t>
      </w:r>
      <w:r>
        <w:rPr>
          <w:rFonts w:ascii="Times New Roman" w:hAnsi="Times New Roman" w:eastAsia="楷体_GB2312" w:cs="Times New Roman"/>
          <w:b w:val="0"/>
          <w:bCs/>
          <w:sz w:val="32"/>
          <w:szCs w:val="32"/>
        </w:rPr>
        <w:t>资金概况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2021年我单位（局、部、中心）项目支出预算共</w:t>
      </w:r>
      <w:r>
        <w:rPr>
          <w:rFonts w:hint="eastAsia" w:ascii="仿宋" w:hAnsi="仿宋" w:eastAsia="仿宋" w:cs="仿宋"/>
          <w:sz w:val="32"/>
          <w:szCs w:val="32"/>
          <w:u w:val="single"/>
          <w:lang w:val="en-US" w:eastAsia="zh-CN"/>
        </w:rPr>
        <w:t xml:space="preserve"> 24244.83 </w:t>
      </w:r>
      <w:r>
        <w:rPr>
          <w:rFonts w:hint="eastAsia" w:ascii="仿宋" w:hAnsi="仿宋" w:eastAsia="仿宋" w:cs="仿宋"/>
          <w:sz w:val="32"/>
          <w:szCs w:val="32"/>
          <w:lang w:val="en-US" w:eastAsia="zh-CN"/>
        </w:rPr>
        <w:t>万元，包含项目</w:t>
      </w:r>
      <w:r>
        <w:rPr>
          <w:rFonts w:hint="eastAsia" w:ascii="仿宋" w:hAnsi="仿宋" w:eastAsia="仿宋" w:cs="仿宋"/>
          <w:sz w:val="32"/>
          <w:szCs w:val="32"/>
          <w:u w:val="single"/>
          <w:lang w:val="en-US" w:eastAsia="zh-CN"/>
        </w:rPr>
        <w:t xml:space="preserve"> 106 </w:t>
      </w:r>
      <w:r>
        <w:rPr>
          <w:rFonts w:hint="eastAsia" w:ascii="仿宋" w:hAnsi="仿宋" w:eastAsia="仿宋" w:cs="仿宋"/>
          <w:sz w:val="32"/>
          <w:szCs w:val="32"/>
          <w:u w:val="none"/>
          <w:lang w:val="en-US" w:eastAsia="zh-CN"/>
        </w:rPr>
        <w:t>个，实际支出</w:t>
      </w:r>
      <w:r>
        <w:rPr>
          <w:rFonts w:hint="eastAsia" w:ascii="仿宋" w:hAnsi="仿宋" w:eastAsia="仿宋" w:cs="仿宋"/>
          <w:sz w:val="32"/>
          <w:szCs w:val="32"/>
          <w:u w:val="single"/>
          <w:lang w:val="en-US" w:eastAsia="zh-CN"/>
        </w:rPr>
        <w:t xml:space="preserve"> 24244.83 </w:t>
      </w:r>
      <w:r>
        <w:rPr>
          <w:rFonts w:hint="eastAsia" w:ascii="仿宋" w:hAnsi="仿宋" w:eastAsia="仿宋" w:cs="仿宋"/>
          <w:sz w:val="32"/>
          <w:szCs w:val="32"/>
          <w:lang w:val="en-US" w:eastAsia="zh-CN"/>
        </w:rPr>
        <w:t>万元（</w:t>
      </w:r>
      <w:r>
        <w:rPr>
          <w:rFonts w:hint="eastAsia" w:ascii="仿宋" w:hAnsi="仿宋" w:eastAsia="仿宋" w:cs="仿宋"/>
          <w:sz w:val="32"/>
          <w:szCs w:val="32"/>
          <w:lang w:eastAsia="zh-CN"/>
        </w:rPr>
        <w:t>业务工作经费</w:t>
      </w:r>
      <w:r>
        <w:rPr>
          <w:rFonts w:hint="eastAsia" w:ascii="仿宋" w:hAnsi="仿宋" w:eastAsia="仿宋" w:cs="仿宋"/>
          <w:sz w:val="32"/>
          <w:szCs w:val="32"/>
          <w:u w:val="single"/>
          <w:lang w:val="en-US" w:eastAsia="zh-CN"/>
        </w:rPr>
        <w:t xml:space="preserve">24244.83 </w:t>
      </w:r>
      <w:r>
        <w:rPr>
          <w:rFonts w:hint="eastAsia" w:ascii="仿宋" w:hAnsi="仿宋" w:eastAsia="仿宋" w:cs="仿宋"/>
          <w:sz w:val="32"/>
          <w:szCs w:val="32"/>
          <w:lang w:val="en-US" w:eastAsia="zh-CN"/>
        </w:rPr>
        <w:t>万元、专项经费</w:t>
      </w:r>
      <w:r>
        <w:rPr>
          <w:rFonts w:hint="eastAsia" w:ascii="仿宋" w:hAnsi="仿宋" w:eastAsia="仿宋" w:cs="仿宋"/>
          <w:sz w:val="32"/>
          <w:szCs w:val="32"/>
          <w:u w:val="single"/>
          <w:lang w:val="en-US" w:eastAsia="zh-CN"/>
        </w:rPr>
        <w:t xml:space="preserve"> 0  </w:t>
      </w:r>
      <w:r>
        <w:rPr>
          <w:rFonts w:hint="eastAsia" w:ascii="仿宋" w:hAnsi="仿宋" w:eastAsia="仿宋" w:cs="仿宋"/>
          <w:sz w:val="32"/>
          <w:szCs w:val="32"/>
          <w:lang w:val="en-US" w:eastAsia="zh-CN"/>
        </w:rPr>
        <w:t>万元、政府专项经费</w:t>
      </w:r>
      <w:r>
        <w:rPr>
          <w:rFonts w:hint="eastAsia" w:ascii="仿宋" w:hAnsi="仿宋" w:eastAsia="仿宋" w:cs="仿宋"/>
          <w:sz w:val="32"/>
          <w:szCs w:val="32"/>
          <w:u w:val="single"/>
          <w:lang w:val="en-US" w:eastAsia="zh-CN"/>
        </w:rPr>
        <w:t xml:space="preserve"> 0  </w:t>
      </w:r>
      <w:r>
        <w:rPr>
          <w:rFonts w:hint="eastAsia" w:ascii="仿宋" w:hAnsi="仿宋" w:eastAsia="仿宋" w:cs="仿宋"/>
          <w:sz w:val="32"/>
          <w:szCs w:val="32"/>
          <w:lang w:val="en-US" w:eastAsia="zh-CN"/>
        </w:rPr>
        <w:t>万元），涵盖项目</w:t>
      </w:r>
      <w:r>
        <w:rPr>
          <w:rFonts w:hint="eastAsia" w:ascii="仿宋" w:hAnsi="仿宋" w:eastAsia="仿宋" w:cs="仿宋"/>
          <w:sz w:val="32"/>
          <w:szCs w:val="32"/>
          <w:u w:val="single"/>
          <w:lang w:val="en-US" w:eastAsia="zh-CN"/>
        </w:rPr>
        <w:t xml:space="preserve"> 106 </w:t>
      </w:r>
      <w:r>
        <w:rPr>
          <w:rFonts w:hint="eastAsia" w:ascii="仿宋" w:hAnsi="仿宋" w:eastAsia="仿宋" w:cs="仿宋"/>
          <w:sz w:val="32"/>
          <w:szCs w:val="32"/>
          <w:u w:val="none"/>
          <w:lang w:val="en-US" w:eastAsia="zh-CN"/>
        </w:rPr>
        <w:t>个</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具体情况如下：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 w:hAnsi="仿宋" w:eastAsia="仿宋" w:cs="仿宋"/>
          <w:b w:val="0"/>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项目类型：业务工作经费</w:t>
      </w:r>
    </w:p>
    <w:p>
      <w:pPr>
        <w:pStyle w:val="2"/>
        <w:keepNext w:val="0"/>
        <w:keepLines w:val="0"/>
        <w:pageBreakBefore w:val="0"/>
        <w:kinsoku/>
        <w:wordWrap/>
        <w:overflowPunct/>
        <w:topLinePunct w:val="0"/>
        <w:autoSpaceDE/>
        <w:autoSpaceDN/>
        <w:bidi w:val="0"/>
        <w:adjustRightInd/>
        <w:snapToGrid/>
        <w:spacing w:line="360" w:lineRule="exact"/>
        <w:ind w:left="0" w:leftChars="0" w:firstLine="0" w:firstLineChars="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资金用途：用于推动全区拆迁腾地项目启动、实施、结算。</w:t>
      </w: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b w:val="0"/>
          <w:bCs/>
          <w:sz w:val="32"/>
          <w:szCs w:val="32"/>
          <w:lang w:val="en-US" w:eastAsia="zh-CN"/>
        </w:rPr>
        <w:t xml:space="preserve">使用方向：  </w:t>
      </w:r>
      <w:r>
        <w:rPr>
          <w:rFonts w:hint="eastAsia" w:ascii="仿宋" w:hAnsi="仿宋" w:eastAsia="仿宋" w:cs="仿宋"/>
          <w:sz w:val="32"/>
          <w:szCs w:val="32"/>
          <w:lang w:val="en-US" w:eastAsia="zh-CN"/>
        </w:rPr>
        <w:t>根据拆迁项目进度拨付至各街道统筹使用（青竹湖街道、沙坪街道、秀峰街道、洪山街道、捞刀河街道，月湖街道，浏阳河街道）。</w:t>
      </w: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预算金额:24244.82万元</w:t>
      </w:r>
    </w:p>
    <w:p>
      <w:pPr>
        <w:pStyle w:val="2"/>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支出金额：24244.82万元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Times New Roman" w:hAnsi="Times New Roman" w:eastAsia="楷体_GB2312" w:cs="Times New Roman"/>
          <w:b w:val="0"/>
          <w:bCs/>
          <w:sz w:val="32"/>
          <w:szCs w:val="32"/>
        </w:rPr>
      </w:pPr>
      <w:r>
        <w:rPr>
          <w:rFonts w:hint="eastAsia" w:ascii="黑体" w:hAnsi="黑体" w:eastAsia="黑体" w:cs="黑体"/>
          <w:b w:val="0"/>
          <w:bCs/>
          <w:sz w:val="32"/>
          <w:szCs w:val="32"/>
          <w:lang w:eastAsia="zh-CN"/>
        </w:rPr>
        <w:t>（二）项目绩效</w:t>
      </w:r>
      <w:r>
        <w:rPr>
          <w:rFonts w:hint="eastAsia" w:ascii="黑体" w:hAnsi="黑体" w:eastAsia="黑体" w:cs="黑体"/>
          <w:b w:val="0"/>
          <w:bCs/>
          <w:sz w:val="32"/>
          <w:szCs w:val="32"/>
        </w:rPr>
        <w:t>目标</w:t>
      </w:r>
      <w:r>
        <w:rPr>
          <w:rFonts w:hint="eastAsia" w:ascii="黑体" w:hAnsi="黑体" w:eastAsia="黑体" w:cs="黑体"/>
          <w:b w:val="0"/>
          <w:bCs/>
          <w:sz w:val="32"/>
          <w:szCs w:val="32"/>
          <w:lang w:eastAsia="zh-CN"/>
        </w:rPr>
        <w:t>情况</w:t>
      </w:r>
    </w:p>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项目类型：业务工作经费</w:t>
      </w:r>
    </w:p>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绩效总目标和阶段性目标：用于推进拆迁项目进度</w:t>
      </w:r>
    </w:p>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预计主要的经济效益：推动全区的经济发展</w:t>
      </w:r>
    </w:p>
    <w:p>
      <w:pPr>
        <w:pStyle w:val="2"/>
        <w:keepNext w:val="0"/>
        <w:keepLines w:val="0"/>
        <w:pageBreakBefore w:val="0"/>
        <w:widowControl/>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社会效益：是实现从拆迁、建设逐步过渡到城市管理非常主要的一环</w:t>
      </w:r>
    </w:p>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生态效益</w:t>
      </w:r>
      <w:r>
        <w:rPr>
          <w:rFonts w:hint="eastAsia" w:ascii="仿宋" w:hAnsi="仿宋" w:eastAsia="仿宋" w:cs="仿宋"/>
          <w:sz w:val="32"/>
          <w:szCs w:val="32"/>
          <w:lang w:val="en-US" w:eastAsia="zh-CN"/>
        </w:rPr>
        <w:t>:实现城市环保和绿化的合理化</w:t>
      </w:r>
    </w:p>
    <w:p>
      <w:pPr>
        <w:pStyle w:val="2"/>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可持续影响：促进全区的房屋建设和经济发展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资金使用管理情况</w:t>
      </w:r>
    </w:p>
    <w:p>
      <w:pPr>
        <w:pStyle w:val="2"/>
        <w:numPr>
          <w:ilvl w:val="0"/>
          <w:numId w:val="0"/>
        </w:numPr>
        <w:ind w:left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业务工作经费主要用于推进拆迁项目，部门与用地方协议归集拆迁资金，该资金由区财政监管。根据项目进度从区财政请款拨付至各街道统筹使用。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360" w:leftChars="0" w:hanging="720" w:firstLineChars="0"/>
        <w:textAlignment w:val="auto"/>
        <w:rPr>
          <w:rFonts w:ascii="Times New Roman" w:hAnsi="Times New Roman" w:eastAsia="黑体" w:cs="Times New Roman"/>
          <w:sz w:val="32"/>
          <w:szCs w:val="32"/>
        </w:rPr>
      </w:pPr>
      <w:r>
        <w:rPr>
          <w:rFonts w:ascii="Times New Roman" w:hAnsi="Times New Roman" w:eastAsia="黑体" w:cs="Times New Roman"/>
          <w:sz w:val="32"/>
          <w:szCs w:val="32"/>
        </w:rPr>
        <w:t>绩效评价工作情况</w:t>
      </w:r>
    </w:p>
    <w:p>
      <w:pPr>
        <w:pStyle w:val="2"/>
        <w:keepNext w:val="0"/>
        <w:keepLines w:val="0"/>
        <w:pageBreakBefore w:val="0"/>
        <w:numPr>
          <w:ilvl w:val="0"/>
          <w:numId w:val="2"/>
        </w:numPr>
        <w:kinsoku/>
        <w:wordWrap/>
        <w:overflowPunct/>
        <w:topLinePunct w:val="0"/>
        <w:autoSpaceDE/>
        <w:autoSpaceDN/>
        <w:bidi w:val="0"/>
        <w:spacing w:line="400" w:lineRule="exact"/>
        <w:textAlignment w:val="auto"/>
        <w:rPr>
          <w:rFonts w:hint="eastAsia" w:ascii="仿宋" w:hAnsi="仿宋" w:eastAsia="仿宋" w:cs="仿宋"/>
          <w:color w:val="auto"/>
          <w:kern w:val="0"/>
          <w:sz w:val="32"/>
          <w:szCs w:val="32"/>
          <w:lang w:val="en-US" w:eastAsia="zh-CN"/>
        </w:rPr>
      </w:pPr>
      <w:r>
        <w:rPr>
          <w:rFonts w:hint="eastAsia" w:ascii="仿宋" w:hAnsi="仿宋" w:eastAsia="仿宋" w:cs="仿宋"/>
          <w:b/>
          <w:bCs/>
          <w:kern w:val="0"/>
          <w:sz w:val="32"/>
          <w:szCs w:val="32"/>
          <w:lang w:eastAsia="zh-CN"/>
        </w:rPr>
        <w:t>坚持项目为王强动力</w:t>
      </w:r>
    </w:p>
    <w:p>
      <w:pPr>
        <w:pStyle w:val="2"/>
        <w:keepNext w:val="0"/>
        <w:keepLines w:val="0"/>
        <w:pageBreakBefore w:val="0"/>
        <w:numPr>
          <w:ilvl w:val="0"/>
          <w:numId w:val="0"/>
        </w:numPr>
        <w:kinsoku/>
        <w:wordWrap/>
        <w:overflowPunct/>
        <w:topLinePunct w:val="0"/>
        <w:autoSpaceDE/>
        <w:autoSpaceDN/>
        <w:bidi w:val="0"/>
        <w:spacing w:line="400" w:lineRule="exact"/>
        <w:ind w:firstLine="640" w:firstLineChars="200"/>
        <w:textAlignment w:val="auto"/>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eastAsia="zh-CN"/>
        </w:rPr>
        <w:t>全</w:t>
      </w:r>
      <w:r>
        <w:rPr>
          <w:rFonts w:hint="eastAsia" w:ascii="仿宋" w:hAnsi="仿宋" w:eastAsia="仿宋" w:cs="仿宋"/>
          <w:color w:val="000000"/>
          <w:sz w:val="32"/>
          <w:szCs w:val="32"/>
          <w:lang w:eastAsia="zh-CN"/>
        </w:rPr>
        <w:t>年共实施拆迁项目</w:t>
      </w:r>
      <w:r>
        <w:rPr>
          <w:rFonts w:hint="eastAsia" w:ascii="仿宋" w:hAnsi="仿宋" w:eastAsia="仿宋" w:cs="仿宋"/>
          <w:color w:val="000000"/>
          <w:sz w:val="32"/>
          <w:szCs w:val="32"/>
          <w:lang w:val="en-US" w:eastAsia="zh-CN"/>
        </w:rPr>
        <w:t>102个，</w:t>
      </w:r>
      <w:r>
        <w:rPr>
          <w:rFonts w:hint="eastAsia" w:ascii="仿宋" w:hAnsi="仿宋" w:eastAsia="仿宋" w:cs="仿宋"/>
          <w:kern w:val="0"/>
          <w:sz w:val="32"/>
          <w:szCs w:val="32"/>
          <w:lang w:val="en-US" w:eastAsia="zh-CN"/>
        </w:rPr>
        <w:t>新启动项目54个，51个已完成签约（9个已结算交地）；扫尾项目48个，37个已结算交地。累计实现腾地4252亩，实现年初既定目标。</w:t>
      </w:r>
    </w:p>
    <w:p>
      <w:pPr>
        <w:pStyle w:val="2"/>
        <w:keepNext w:val="0"/>
        <w:keepLines w:val="0"/>
        <w:pageBreakBefore w:val="0"/>
        <w:numPr>
          <w:ilvl w:val="0"/>
          <w:numId w:val="0"/>
        </w:numPr>
        <w:kinsoku/>
        <w:wordWrap/>
        <w:overflowPunct/>
        <w:topLinePunct w:val="0"/>
        <w:autoSpaceDE/>
        <w:autoSpaceDN/>
        <w:bidi w:val="0"/>
        <w:spacing w:line="400" w:lineRule="exact"/>
        <w:ind w:firstLine="643"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b/>
          <w:bCs/>
          <w:kern w:val="0"/>
          <w:sz w:val="32"/>
          <w:szCs w:val="32"/>
          <w:lang w:eastAsia="zh-CN"/>
        </w:rPr>
        <w:t>一是科学安排，</w:t>
      </w:r>
      <w:r>
        <w:rPr>
          <w:rFonts w:hint="eastAsia" w:ascii="仿宋" w:hAnsi="仿宋" w:eastAsia="仿宋" w:cs="仿宋"/>
          <w:b/>
          <w:bCs/>
          <w:kern w:val="0"/>
          <w:sz w:val="32"/>
          <w:szCs w:val="32"/>
          <w:lang w:val="en-US" w:eastAsia="zh-CN"/>
        </w:rPr>
        <w:t>全面统筹推新项目实施。</w:t>
      </w:r>
      <w:r>
        <w:rPr>
          <w:rFonts w:hint="eastAsia" w:ascii="仿宋" w:hAnsi="仿宋" w:eastAsia="仿宋" w:cs="仿宋"/>
          <w:color w:val="auto"/>
          <w:kern w:val="0"/>
          <w:sz w:val="32"/>
          <w:szCs w:val="32"/>
          <w:lang w:val="en-US" w:eastAsia="zh-CN"/>
        </w:rPr>
        <w:t>2021年，全区共启动新项目54个（含32个新程序项目），征地面积2924亩，动迁人口1841人，拆迁房屋359栋567户</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default" w:ascii="Times New Roman" w:hAnsi="Times New Roman" w:eastAsia="仿宋_GB2312" w:cs="Times New Roman"/>
          <w:kern w:val="0"/>
          <w:lang w:val="en-US" w:eastAsia="zh-CN"/>
        </w:rPr>
      </w:pPr>
      <w:r>
        <w:rPr>
          <w:rFonts w:hint="eastAsia" w:ascii="仿宋" w:hAnsi="仿宋" w:eastAsia="仿宋" w:cs="仿宋"/>
          <w:b/>
          <w:bCs/>
          <w:kern w:val="0"/>
          <w:sz w:val="32"/>
          <w:szCs w:val="32"/>
          <w:lang w:val="en-US" w:eastAsia="zh-CN"/>
        </w:rPr>
        <w:t>二是</w:t>
      </w:r>
      <w:r>
        <w:rPr>
          <w:rFonts w:hint="eastAsia" w:ascii="仿宋" w:hAnsi="仿宋" w:eastAsia="仿宋" w:cs="仿宋"/>
          <w:b/>
          <w:bCs/>
          <w:kern w:val="0"/>
          <w:sz w:val="32"/>
          <w:szCs w:val="32"/>
          <w:lang w:eastAsia="zh-CN"/>
        </w:rPr>
        <w:t>合力攻坚，多措并举促老项目清零</w:t>
      </w:r>
      <w:r>
        <w:rPr>
          <w:rFonts w:hint="eastAsia" w:ascii="仿宋" w:hAnsi="仿宋" w:eastAsia="仿宋" w:cs="仿宋"/>
          <w:b/>
          <w:bCs/>
          <w:kern w:val="0"/>
          <w:sz w:val="32"/>
          <w:szCs w:val="32"/>
          <w:lang w:val="en-US" w:eastAsia="zh-CN"/>
        </w:rPr>
        <w:t>。</w:t>
      </w:r>
      <w:r>
        <w:rPr>
          <w:rFonts w:hint="eastAsia" w:ascii="仿宋" w:hAnsi="仿宋" w:eastAsia="仿宋" w:cs="仿宋"/>
          <w:color w:val="auto"/>
          <w:sz w:val="32"/>
          <w:szCs w:val="32"/>
          <w:lang w:val="en-US" w:eastAsia="zh-CN"/>
        </w:rPr>
        <w:t>所有扫尾计划年底前全部完成。</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360" w:leftChars="0" w:hanging="720" w:firstLineChars="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项目支出</w:t>
      </w:r>
      <w:r>
        <w:rPr>
          <w:rFonts w:ascii="Times New Roman" w:hAnsi="Times New Roman" w:eastAsia="黑体" w:cs="Times New Roman"/>
          <w:sz w:val="32"/>
          <w:szCs w:val="32"/>
        </w:rPr>
        <w:t>主要绩效</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全</w:t>
      </w:r>
      <w:r>
        <w:rPr>
          <w:rFonts w:hint="eastAsia" w:ascii="仿宋" w:hAnsi="仿宋" w:eastAsia="仿宋" w:cs="仿宋"/>
          <w:color w:val="000000"/>
          <w:sz w:val="32"/>
          <w:szCs w:val="32"/>
          <w:lang w:eastAsia="zh-CN"/>
        </w:rPr>
        <w:t>年共实施拆迁项目</w:t>
      </w:r>
      <w:r>
        <w:rPr>
          <w:rFonts w:hint="eastAsia" w:ascii="仿宋" w:hAnsi="仿宋" w:eastAsia="仿宋" w:cs="仿宋"/>
          <w:color w:val="000000"/>
          <w:sz w:val="32"/>
          <w:szCs w:val="32"/>
          <w:lang w:val="en-US" w:eastAsia="zh-CN"/>
        </w:rPr>
        <w:t>102个，</w:t>
      </w:r>
      <w:r>
        <w:rPr>
          <w:rFonts w:hint="eastAsia" w:ascii="仿宋" w:hAnsi="仿宋" w:eastAsia="仿宋" w:cs="仿宋"/>
          <w:kern w:val="0"/>
          <w:sz w:val="32"/>
          <w:szCs w:val="32"/>
          <w:lang w:val="en-US" w:eastAsia="zh-CN"/>
        </w:rPr>
        <w:t>新启动项目54个，51个已完成签约（9个已结算交地）；扫尾项目48个，37个已结算交地。累计实现腾地4252亩，实现年初既定目标。</w:t>
      </w:r>
      <w:r>
        <w:rPr>
          <w:rFonts w:hint="eastAsia" w:ascii="仿宋" w:hAnsi="仿宋" w:eastAsia="仿宋" w:cs="仿宋"/>
          <w:b/>
          <w:bCs/>
          <w:kern w:val="0"/>
          <w:sz w:val="32"/>
          <w:szCs w:val="32"/>
          <w:lang w:val="en-US" w:eastAsia="zh-CN"/>
        </w:rPr>
        <w:t>一</w:t>
      </w:r>
      <w:r>
        <w:rPr>
          <w:rFonts w:hint="eastAsia" w:ascii="仿宋" w:hAnsi="仿宋" w:eastAsia="仿宋" w:cs="仿宋"/>
          <w:b/>
          <w:bCs/>
          <w:kern w:val="0"/>
          <w:sz w:val="32"/>
          <w:szCs w:val="32"/>
          <w:lang w:val="en-US" w:eastAsia="zh-CN"/>
        </w:rPr>
        <w:t>是</w:t>
      </w:r>
      <w:r>
        <w:rPr>
          <w:rFonts w:hint="eastAsia" w:ascii="仿宋" w:hAnsi="仿宋" w:eastAsia="仿宋" w:cs="仿宋"/>
          <w:b/>
          <w:bCs/>
          <w:kern w:val="0"/>
          <w:sz w:val="32"/>
          <w:szCs w:val="32"/>
          <w:lang w:eastAsia="zh-CN"/>
        </w:rPr>
        <w:t>科学安排，</w:t>
      </w:r>
      <w:r>
        <w:rPr>
          <w:rFonts w:hint="eastAsia" w:ascii="仿宋" w:hAnsi="仿宋" w:eastAsia="仿宋" w:cs="仿宋"/>
          <w:b/>
          <w:bCs/>
          <w:kern w:val="0"/>
          <w:sz w:val="32"/>
          <w:szCs w:val="32"/>
          <w:lang w:val="en-US" w:eastAsia="zh-CN"/>
        </w:rPr>
        <w:t>全面统筹推新项目实施。</w:t>
      </w:r>
      <w:r>
        <w:rPr>
          <w:rFonts w:hint="eastAsia" w:ascii="仿宋" w:hAnsi="仿宋" w:eastAsia="仿宋" w:cs="仿宋"/>
          <w:color w:val="auto"/>
          <w:kern w:val="0"/>
          <w:sz w:val="32"/>
          <w:szCs w:val="32"/>
          <w:lang w:val="en-US" w:eastAsia="zh-CN"/>
        </w:rPr>
        <w:t>2021年，全区共启动新项目54个（含32个新程序项目），征地面积2924亩，动迁人口1841人，拆迁房屋359栋567户。其中，大安路（荷莲路-钟石路）、荷莲路、植基路（高冲路以南农民安置用地零星地块）、高冲路、成功路、冯蔡东路绿化补征、冯蔡东路补征、轨道交通一号线北延线、植基路（湘荷统征地一配套路幅）等9个项目全面清零实现高质量交地；湘粤统征地二、广胜统征地一、商飞统征地二期、顺达变电站、苏托垸安置用地等42个项目已完成签约；大安统征地、青竹湖以北安置地、中岭村生产发展用地等3个项目正在签约中。</w:t>
      </w:r>
      <w:r>
        <w:rPr>
          <w:rFonts w:hint="eastAsia" w:ascii="仿宋" w:hAnsi="仿宋" w:eastAsia="仿宋" w:cs="仿宋"/>
          <w:b/>
          <w:bCs/>
          <w:kern w:val="0"/>
          <w:sz w:val="32"/>
          <w:szCs w:val="32"/>
          <w:lang w:val="en-US" w:eastAsia="zh-CN"/>
        </w:rPr>
        <w:t>二是</w:t>
      </w:r>
      <w:r>
        <w:rPr>
          <w:rFonts w:hint="eastAsia" w:ascii="仿宋" w:hAnsi="仿宋" w:eastAsia="仿宋" w:cs="仿宋"/>
          <w:b/>
          <w:bCs/>
          <w:kern w:val="0"/>
          <w:sz w:val="32"/>
          <w:szCs w:val="32"/>
          <w:lang w:eastAsia="zh-CN"/>
        </w:rPr>
        <w:t>合力攻坚，多措并举促老项目清零</w:t>
      </w:r>
      <w:r>
        <w:rPr>
          <w:rFonts w:hint="eastAsia" w:ascii="仿宋" w:hAnsi="仿宋" w:eastAsia="仿宋" w:cs="仿宋"/>
          <w:b/>
          <w:bCs/>
          <w:kern w:val="0"/>
          <w:sz w:val="32"/>
          <w:szCs w:val="32"/>
          <w:lang w:val="en-US" w:eastAsia="zh-CN"/>
        </w:rPr>
        <w:t>。</w:t>
      </w:r>
      <w:r>
        <w:rPr>
          <w:rFonts w:hint="eastAsia" w:ascii="仿宋" w:hAnsi="仿宋" w:eastAsia="仿宋" w:cs="仿宋"/>
          <w:color w:val="auto"/>
          <w:kern w:val="0"/>
          <w:sz w:val="32"/>
          <w:szCs w:val="32"/>
          <w:lang w:val="en-US" w:eastAsia="zh-CN"/>
        </w:rPr>
        <w:t>48个扫</w:t>
      </w:r>
      <w:r>
        <w:rPr>
          <w:rFonts w:hint="eastAsia" w:ascii="仿宋" w:hAnsi="仿宋" w:eastAsia="仿宋" w:cs="仿宋"/>
          <w:color w:val="auto"/>
          <w:kern w:val="0"/>
          <w:sz w:val="32"/>
          <w:szCs w:val="32"/>
          <w:lang w:eastAsia="zh-CN"/>
        </w:rPr>
        <w:t>尾项目中，</w:t>
      </w:r>
      <w:r>
        <w:rPr>
          <w:rFonts w:hint="eastAsia" w:ascii="仿宋" w:hAnsi="仿宋" w:eastAsia="仿宋" w:cs="仿宋"/>
          <w:color w:val="auto"/>
          <w:kern w:val="0"/>
          <w:sz w:val="32"/>
          <w:szCs w:val="32"/>
          <w:lang w:val="en-US" w:eastAsia="zh-CN"/>
        </w:rPr>
        <w:t>井坡商住西地块、兴联统征地、911亩（三个地块）、金霞统征地四、五、六、钟石统征地四、五、自安统征地一、二、杏林春药业、137亩、香江2.2期、186亩等37个项目已全面清零实现高质量交地；高岭仓储、板塘统征地五、395亩等3个已办理结算；荷叶二号统征地项目、秀峰二号统征地项目、骏豪路、天井二期安置用地等4个新程序项目已签约倒房完毕，正在办理用地手续；白霞村中星路以南安置用地项目、农村信用社七个分社综合楼建设用地项目等4个项目</w:t>
      </w:r>
      <w:r>
        <w:rPr>
          <w:rFonts w:hint="eastAsia" w:ascii="仿宋" w:hAnsi="仿宋" w:eastAsia="仿宋" w:cs="仿宋"/>
          <w:color w:val="auto"/>
          <w:sz w:val="32"/>
          <w:szCs w:val="32"/>
          <w:lang w:val="en-US" w:eastAsia="zh-CN"/>
        </w:rPr>
        <w:t>正在加紧推进。所有扫尾计划年底前全部完成。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黑体" w:cs="Times New Roman"/>
          <w:sz w:val="32"/>
          <w:szCs w:val="32"/>
        </w:rPr>
      </w:pPr>
      <w:r>
        <w:rPr>
          <w:rFonts w:ascii="Times New Roman" w:hAnsi="Times New Roman" w:eastAsia="黑体" w:cs="Times New Roman"/>
          <w:sz w:val="32"/>
          <w:szCs w:val="32"/>
        </w:rPr>
        <w:t>四、存在的问题</w:t>
      </w:r>
    </w:p>
    <w:p>
      <w:pPr>
        <w:widowControl/>
        <w:spacing w:line="600" w:lineRule="exact"/>
        <w:ind w:firstLine="645"/>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存在的问题：因年中业务工作经费纳入预算一体化管理导致决算数与预算数差距较大。</w:t>
      </w:r>
    </w:p>
    <w:p>
      <w:pPr>
        <w:widowControl/>
        <w:spacing w:line="600" w:lineRule="exact"/>
        <w:ind w:firstLine="645"/>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改进措施：严格根据本年决算情况预计好来年的业务工作经费。</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360" w:leftChars="0" w:hanging="720" w:firstLineChars="0"/>
        <w:textAlignment w:val="auto"/>
        <w:rPr>
          <w:rFonts w:hint="eastAsia" w:ascii="仿宋" w:hAnsi="仿宋" w:eastAsia="仿宋" w:cs="仿宋"/>
          <w:sz w:val="32"/>
          <w:szCs w:val="32"/>
          <w:lang w:eastAsia="zh-CN"/>
        </w:rPr>
      </w:pPr>
      <w:r>
        <w:rPr>
          <w:rFonts w:ascii="Times New Roman" w:hAnsi="Times New Roman" w:eastAsia="黑体" w:cs="Times New Roman"/>
          <w:sz w:val="32"/>
          <w:szCs w:val="32"/>
        </w:rPr>
        <w:t>有关建议</w:t>
      </w:r>
    </w:p>
    <w:p>
      <w:pPr>
        <w:keepNext w:val="0"/>
        <w:keepLines w:val="0"/>
        <w:pageBreakBefore w:val="0"/>
        <w:widowControl w:val="0"/>
        <w:numPr>
          <w:numId w:val="0"/>
        </w:numPr>
        <w:kinsoku/>
        <w:wordWrap/>
        <w:overflowPunct/>
        <w:topLinePunct w:val="0"/>
        <w:autoSpaceDE/>
        <w:autoSpaceDN/>
        <w:bidi w:val="0"/>
        <w:adjustRightInd/>
        <w:snapToGrid/>
        <w:spacing w:line="560" w:lineRule="exact"/>
        <w:ind w:left="640" w:leftChars="0"/>
        <w:textAlignment w:val="auto"/>
        <w:rPr>
          <w:rFonts w:hint="eastAsia" w:ascii="仿宋" w:hAnsi="仿宋" w:eastAsia="仿宋" w:cs="仿宋"/>
          <w:sz w:val="32"/>
          <w:szCs w:val="32"/>
          <w:lang w:eastAsia="zh-CN"/>
        </w:rPr>
      </w:pPr>
      <w:bookmarkStart w:id="0" w:name="_GoBack"/>
      <w:bookmarkEnd w:id="0"/>
      <w:r>
        <w:rPr>
          <w:rFonts w:hint="eastAsia" w:ascii="仿宋" w:hAnsi="仿宋" w:eastAsia="仿宋" w:cs="仿宋"/>
          <w:sz w:val="32"/>
          <w:szCs w:val="32"/>
          <w:lang w:eastAsia="zh-CN"/>
        </w:rPr>
        <w:t>无</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360" w:leftChars="0" w:hanging="720" w:firstLineChars="0"/>
        <w:textAlignment w:val="auto"/>
        <w:rPr>
          <w:rFonts w:ascii="Times New Roman" w:hAnsi="Times New Roman" w:eastAsia="黑体" w:cs="Times New Roman"/>
          <w:sz w:val="32"/>
          <w:szCs w:val="32"/>
        </w:rPr>
      </w:pPr>
      <w:r>
        <w:rPr>
          <w:rFonts w:ascii="Times New Roman" w:hAnsi="Times New Roman" w:eastAsia="黑体" w:cs="Times New Roman"/>
          <w:sz w:val="32"/>
          <w:szCs w:val="32"/>
        </w:rPr>
        <w:t>其他需要说明的问题</w:t>
      </w:r>
    </w:p>
    <w:p>
      <w:pPr>
        <w:pStyle w:val="2"/>
        <w:numPr>
          <w:ilvl w:val="0"/>
          <w:numId w:val="0"/>
        </w:numPr>
        <w:ind w:left="640" w:leftChars="0"/>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wordWrap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20</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wordWrap w:val="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20</w:t>
                    </w:r>
                    <w:r>
                      <w:rPr>
                        <w:sz w:val="28"/>
                        <w:szCs w:val="28"/>
                      </w:rPr>
                      <w:fldChar w:fldCharType="end"/>
                    </w:r>
                    <w:r>
                      <w:rPr>
                        <w:sz w:val="28"/>
                        <w:szCs w:val="28"/>
                      </w:rPr>
                      <w:t xml:space="preserve"> —</w:t>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3DF03D93"/>
    <w:multiLevelType w:val="singleLevel"/>
    <w:tmpl w:val="3DF03D9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wNmQxMGU5MzU1MmUxOGQxNjY5ZWM2ZGJmNDFmOTkifQ=="/>
  </w:docVars>
  <w:rsids>
    <w:rsidRoot w:val="00000000"/>
    <w:rsid w:val="053C0C8A"/>
    <w:rsid w:val="066F6E3E"/>
    <w:rsid w:val="07182D53"/>
    <w:rsid w:val="0CFB151A"/>
    <w:rsid w:val="0DF2282E"/>
    <w:rsid w:val="173B6FF4"/>
    <w:rsid w:val="195B1BCF"/>
    <w:rsid w:val="1E7A2AF8"/>
    <w:rsid w:val="240A0A32"/>
    <w:rsid w:val="24DC16EA"/>
    <w:rsid w:val="34C957E7"/>
    <w:rsid w:val="379A346B"/>
    <w:rsid w:val="3FCE0794"/>
    <w:rsid w:val="4642189D"/>
    <w:rsid w:val="47A3011A"/>
    <w:rsid w:val="48E7672C"/>
    <w:rsid w:val="53F862BC"/>
    <w:rsid w:val="56CD0D0F"/>
    <w:rsid w:val="5BEA2363"/>
    <w:rsid w:val="5E622BAC"/>
    <w:rsid w:val="6E896DD5"/>
    <w:rsid w:val="76120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Times New Roman" w:hAnsi="Times New Roman" w:eastAsia="宋体" w:cs="Times New Roman"/>
    </w:rPr>
  </w:style>
  <w:style w:type="paragraph" w:styleId="3">
    <w:name w:val="Body Text"/>
    <w:basedOn w:val="1"/>
    <w:next w:val="2"/>
    <w:qFormat/>
    <w:uiPriority w:val="0"/>
    <w:pPr>
      <w:widowControl/>
      <w:spacing w:before="100" w:beforeAutospacing="1" w:after="100" w:afterAutospacing="1"/>
      <w:jc w:val="left"/>
    </w:pPr>
    <w:rPr>
      <w:rFonts w:ascii="宋体" w:hAnsi="宋体" w:cs="宋体"/>
      <w:kern w:val="0"/>
      <w:sz w:val="24"/>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1289</Words>
  <Characters>1393</Characters>
  <Lines>0</Lines>
  <Paragraphs>0</Paragraphs>
  <TotalTime>2</TotalTime>
  <ScaleCrop>false</ScaleCrop>
  <LinksUpToDate>false</LinksUpToDate>
  <CharactersWithSpaces>1415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2022-09-15T07:28:00Z</dcterms:created>
  <dc:creator>Administrator</dc:creator>
  <cp:lastModifiedBy>Surprisetome丶</cp:lastModifiedBy>
  <dcterms:modified xsi:type="dcterms:W3CDTF">2022-09-15T08:46:01Z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A3D20D39BE6D486FB1F0871FCEBEF8B0</vt:lpwstr>
  </property>
</Properties>
</file>