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both"/>
        <w:rPr>
          <w:rFonts w:hint="eastAsia"/>
          <w:sz w:val="44"/>
          <w:szCs w:val="44"/>
        </w:rPr>
      </w:pPr>
      <w:r>
        <w:rPr>
          <w:rFonts w:hint="eastAsia" w:ascii="方正小标宋简体" w:eastAsia="方正小标宋简体"/>
          <w:sz w:val="44"/>
          <w:szCs w:val="44"/>
        </w:rPr>
        <w:t>2021年度部门整体支出绩效评价报告</w:t>
      </w:r>
    </w:p>
    <w:p>
      <w:pPr>
        <w:jc w:val="both"/>
        <w:rPr>
          <w:rFonts w:hint="eastAsia"/>
        </w:rPr>
      </w:pPr>
    </w:p>
    <w:p>
      <w:pPr>
        <w:spacing w:line="600" w:lineRule="exact"/>
        <w:jc w:val="both"/>
        <w:rPr>
          <w:rFonts w:hint="eastAsia"/>
        </w:rPr>
      </w:pPr>
    </w:p>
    <w:p>
      <w:pPr>
        <w:pStyle w:val="8"/>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机构情况</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区征地服务中心由事业单位本级构成，无二级机构组成。</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人员情况</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本部门编制数9人，在职在编8人；政府雇员1人；编外长期聘用人员12人；离退休人数1人，其中离休人员0人，退休人员1人。</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主要职能：</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（1）、主要负责牵头组织全区103号令农村征地拆迁补偿安置（保障住房建设除外）工作的实施、组织、协调、监督和管理；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（2）、负责牵头编制农村征拆项目年度计划；</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（3）、负责103号令“两保”用地指标申报、被征地农民安置对象及纳入人员名单的审核；</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（4）、负责指导全区60号令“两安”用地指标的清算；</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（5）、牵头组织农民安置房的分配等。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p>
    <w:p>
      <w:pPr>
        <w:pStyle w:val="8"/>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8"/>
        <w:widowControl/>
        <w:numPr>
          <w:ilvl w:val="0"/>
          <w:numId w:val="2"/>
        </w:numPr>
        <w:spacing w:line="600" w:lineRule="exact"/>
        <w:ind w:firstLineChars="0"/>
        <w:rPr>
          <w:rFonts w:hint="eastAsia" w:ascii="仿宋" w:hAnsi="仿宋" w:eastAsia="仿宋" w:cs="仿宋"/>
          <w:b w:val="0"/>
          <w:bCs w:val="0"/>
          <w:sz w:val="28"/>
          <w:szCs w:val="28"/>
          <w:lang w:val="en-US" w:eastAsia="zh-CN"/>
        </w:rPr>
      </w:pPr>
      <w:r>
        <w:rPr>
          <w:rFonts w:ascii="Times New Roman" w:hAnsi="Times New Roman" w:eastAsia="黑体" w:cs="Times New Roman"/>
          <w:sz w:val="32"/>
          <w:szCs w:val="32"/>
        </w:rPr>
        <w:t>基本支出情况</w:t>
      </w:r>
      <w:r>
        <w:rPr>
          <w:rFonts w:hint="eastAsia" w:ascii="Times New Roman" w:hAnsi="Times New Roman" w:eastAsia="黑体" w:cs="Times New Roman"/>
          <w:sz w:val="32"/>
          <w:szCs w:val="32"/>
          <w:lang w:eastAsia="zh-CN"/>
        </w:rPr>
        <w:t>：</w:t>
      </w:r>
    </w:p>
    <w:p>
      <w:pPr>
        <w:pStyle w:val="8"/>
        <w:widowControl/>
        <w:numPr>
          <w:ilvl w:val="0"/>
          <w:numId w:val="0"/>
        </w:numPr>
        <w:spacing w:line="600" w:lineRule="exact"/>
        <w:ind w:left="64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基本支出预算：</w:t>
      </w:r>
      <w:r>
        <w:rPr>
          <w:rFonts w:hint="eastAsia" w:ascii="仿宋" w:hAnsi="仿宋" w:eastAsia="仿宋" w:cs="仿宋"/>
          <w:b w:val="0"/>
          <w:bCs w:val="0"/>
          <w:sz w:val="28"/>
          <w:szCs w:val="28"/>
          <w:lang w:val="en-US" w:eastAsia="zh-CN"/>
        </w:rPr>
        <w:t>2021年预算数394.65万元，其中，一般公共服务支出374.34万元。公共安全支出0万元，教育支出0万元。本年支预算数比上年增加29.15万元。支出增加的主要原因是：基本工资及人员经费相应增加。</w:t>
      </w:r>
    </w:p>
    <w:p>
      <w:pPr>
        <w:pStyle w:val="8"/>
        <w:widowControl/>
        <w:numPr>
          <w:ilvl w:val="0"/>
          <w:numId w:val="0"/>
        </w:numPr>
        <w:spacing w:line="600" w:lineRule="exact"/>
        <w:ind w:left="640" w:leftChars="0"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2021年决算基本支出416.21万元，基本在预算控制范围内，人员经费增加，预算调整。</w:t>
      </w:r>
    </w:p>
    <w:p>
      <w:pPr>
        <w:pStyle w:val="8"/>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widowControl/>
        <w:spacing w:line="600" w:lineRule="exact"/>
        <w:ind w:firstLine="640" w:firstLineChars="200"/>
        <w:jc w:val="left"/>
        <w:rPr>
          <w:rFonts w:hint="eastAsia" w:ascii="Times New Roman" w:hAnsi="Times New Roman" w:cs="Times New Roman"/>
          <w:sz w:val="32"/>
          <w:szCs w:val="32"/>
          <w:lang w:val="en-US" w:eastAsia="zh-CN"/>
        </w:rPr>
      </w:pPr>
      <w:r>
        <w:rPr>
          <w:rFonts w:hint="eastAsia" w:ascii="Times New Roman" w:hAnsi="Times New Roman" w:cs="Times New Roman"/>
          <w:sz w:val="32"/>
          <w:szCs w:val="32"/>
          <w:lang w:eastAsia="zh-CN"/>
        </w:rPr>
        <w:t>项目支出预算为</w:t>
      </w:r>
      <w:r>
        <w:rPr>
          <w:rFonts w:hint="eastAsia" w:ascii="Times New Roman" w:hAnsi="Times New Roman" w:cs="Times New Roman"/>
          <w:sz w:val="32"/>
          <w:szCs w:val="32"/>
          <w:lang w:val="en-US" w:eastAsia="zh-CN"/>
        </w:rPr>
        <w:t>24244.83万元。项目支出决算数24244.83万元。预算调整数24244.83万元，因纳入全年拆迁项目工作经费使用。其他基本控制在预算范围内。</w:t>
      </w:r>
    </w:p>
    <w:p>
      <w:pPr>
        <w:widowControl/>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项目支出由部门从用地方签订协议归集资金到区财政局，由区财政局监管，根据征拆项目公告进度合理拨付到街道，由街道统筹使用（青竹湖街道、沙坪街道、秀峰街道、洪山街道、捞刀河街道，月湖街道，浏阳河街道）。</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cs="仿宋"/>
          <w:sz w:val="32"/>
          <w:szCs w:val="32"/>
        </w:rPr>
      </w:pPr>
      <w:r>
        <w:rPr>
          <w:rFonts w:hint="eastAsia" w:ascii="Times New Roman" w:hAnsi="Times New Roman" w:cs="Times New Roman"/>
          <w:color w:val="000000"/>
          <w:sz w:val="32"/>
          <w:szCs w:val="32"/>
          <w:lang w:eastAsia="zh-CN"/>
        </w:rPr>
        <w:t>（一）</w:t>
      </w:r>
      <w:r>
        <w:rPr>
          <w:rFonts w:hint="eastAsia" w:ascii="仿宋_GB2312" w:hAnsi="仿宋" w:cs="仿宋"/>
          <w:sz w:val="32"/>
          <w:szCs w:val="32"/>
        </w:rPr>
        <w:t>绩效目标</w:t>
      </w:r>
      <w:r>
        <w:rPr>
          <w:rFonts w:hint="eastAsia" w:ascii="仿宋_GB2312" w:hAnsi="仿宋" w:cs="仿宋"/>
          <w:sz w:val="32"/>
          <w:szCs w:val="32"/>
          <w:lang w:eastAsia="zh-CN"/>
        </w:rPr>
        <w:t>设置</w:t>
      </w:r>
      <w:r>
        <w:rPr>
          <w:rFonts w:hint="eastAsia" w:ascii="仿宋_GB2312" w:hAnsi="仿宋" w:cs="仿宋"/>
          <w:sz w:val="32"/>
          <w:szCs w:val="32"/>
        </w:rPr>
        <w:t>情况</w:t>
      </w:r>
    </w:p>
    <w:p>
      <w:pPr>
        <w:widowControl/>
        <w:snapToGrid w:val="0"/>
        <w:spacing w:line="560" w:lineRule="exact"/>
        <w:ind w:firstLine="640" w:firstLineChars="200"/>
        <w:jc w:val="left"/>
        <w:rPr>
          <w:rFonts w:hint="default" w:ascii="仿宋_GB2312" w:hAnsi="仿宋" w:eastAsia="仿宋_GB2312" w:cs="仿宋"/>
          <w:sz w:val="32"/>
          <w:szCs w:val="32"/>
          <w:lang w:val="en-US" w:eastAsia="zh-CN"/>
        </w:rPr>
      </w:pPr>
      <w:r>
        <w:rPr>
          <w:rFonts w:hint="eastAsia" w:ascii="仿宋_GB2312" w:hAnsi="仿宋" w:cs="仿宋"/>
          <w:sz w:val="32"/>
          <w:szCs w:val="32"/>
          <w:lang w:val="en-US" w:eastAsia="zh-CN"/>
        </w:rPr>
        <w:t>主要负责农村征地拆迁补偿安置工作的实施、组织、协调、监督和管理；负责牵头编制农村拆迁项目年度计划；负责“两保”用地指标申报共计</w:t>
      </w:r>
      <w:r>
        <w:rPr>
          <w:rFonts w:hint="eastAsia" w:ascii="Times New Roman" w:hAnsi="Times New Roman" w:eastAsia="仿宋_GB2312" w:cs="Times New Roman"/>
          <w:color w:val="auto"/>
          <w:kern w:val="0"/>
          <w:lang w:val="en-US" w:eastAsia="zh-CN"/>
        </w:rPr>
        <w:t>812.97亩</w:t>
      </w:r>
      <w:r>
        <w:rPr>
          <w:rFonts w:hint="eastAsia" w:ascii="仿宋_GB2312" w:hAnsi="仿宋" w:cs="仿宋"/>
          <w:sz w:val="32"/>
          <w:szCs w:val="32"/>
          <w:lang w:val="en-US" w:eastAsia="zh-CN"/>
        </w:rPr>
        <w:t>、补征地农民安置对象及纳入人员名单的审核，</w:t>
      </w:r>
      <w:r>
        <w:rPr>
          <w:rFonts w:hint="default" w:ascii="Times New Roman" w:hAnsi="Times New Roman" w:eastAsia="仿宋_GB2312" w:cs="Times New Roman"/>
          <w:color w:val="auto"/>
          <w:szCs w:val="32"/>
        </w:rPr>
        <w:t>完</w:t>
      </w:r>
      <w:r>
        <w:rPr>
          <w:rFonts w:hint="default" w:ascii="Times New Roman" w:hAnsi="Times New Roman" w:eastAsia="仿宋_GB2312" w:cs="Times New Roman"/>
          <w:kern w:val="0"/>
          <w:lang w:eastAsia="zh-CN"/>
        </w:rPr>
        <w:t>成</w:t>
      </w:r>
      <w:r>
        <w:rPr>
          <w:rFonts w:hint="eastAsia" w:ascii="Times New Roman" w:hAnsi="Times New Roman" w:eastAsia="仿宋_GB2312" w:cs="Times New Roman"/>
          <w:kern w:val="0"/>
          <w:lang w:val="en-US" w:eastAsia="zh-CN"/>
        </w:rPr>
        <w:t>43</w:t>
      </w:r>
      <w:r>
        <w:rPr>
          <w:rFonts w:hint="default" w:ascii="Times New Roman" w:hAnsi="Times New Roman" w:eastAsia="仿宋_GB2312" w:cs="Times New Roman"/>
          <w:kern w:val="0"/>
          <w:lang w:eastAsia="zh-CN"/>
        </w:rPr>
        <w:t>个项目</w:t>
      </w:r>
      <w:r>
        <w:rPr>
          <w:rFonts w:hint="eastAsia" w:ascii="Times New Roman" w:hAnsi="Times New Roman" w:eastAsia="仿宋_GB2312" w:cs="Times New Roman"/>
          <w:kern w:val="0"/>
          <w:lang w:val="en-US" w:eastAsia="zh-CN"/>
        </w:rPr>
        <w:t>126批次4723.5</w:t>
      </w:r>
      <w:r>
        <w:rPr>
          <w:rFonts w:hint="default" w:ascii="Times New Roman" w:hAnsi="Times New Roman" w:eastAsia="仿宋_GB2312" w:cs="Times New Roman"/>
          <w:kern w:val="0"/>
          <w:lang w:eastAsia="zh-CN"/>
        </w:rPr>
        <w:t>个安置指标（其中：申购保障住房指标数</w:t>
      </w:r>
      <w:r>
        <w:rPr>
          <w:rFonts w:hint="eastAsia" w:ascii="Times New Roman" w:hAnsi="Times New Roman" w:eastAsia="仿宋_GB2312" w:cs="Times New Roman"/>
          <w:kern w:val="0"/>
          <w:lang w:val="en-US" w:eastAsia="zh-CN"/>
        </w:rPr>
        <w:t>4704.5</w:t>
      </w:r>
      <w:r>
        <w:rPr>
          <w:rFonts w:hint="default" w:ascii="Times New Roman" w:hAnsi="Times New Roman" w:eastAsia="仿宋_GB2312" w:cs="Times New Roman"/>
          <w:kern w:val="0"/>
          <w:lang w:eastAsia="zh-CN"/>
        </w:rPr>
        <w:t>个，申请货币补贴指标数</w:t>
      </w:r>
      <w:r>
        <w:rPr>
          <w:rFonts w:hint="eastAsia" w:ascii="Times New Roman" w:hAnsi="Times New Roman" w:eastAsia="仿宋_GB2312" w:cs="Times New Roman"/>
          <w:kern w:val="0"/>
          <w:lang w:val="en-US" w:eastAsia="zh-CN"/>
        </w:rPr>
        <w:t>19</w:t>
      </w:r>
      <w:r>
        <w:rPr>
          <w:rFonts w:hint="default" w:ascii="Times New Roman" w:hAnsi="Times New Roman" w:eastAsia="仿宋_GB2312" w:cs="Times New Roman"/>
          <w:kern w:val="0"/>
          <w:lang w:eastAsia="zh-CN"/>
        </w:rPr>
        <w:t>个）的审核工作</w:t>
      </w:r>
      <w:r>
        <w:rPr>
          <w:rFonts w:hint="eastAsia" w:ascii="仿宋_GB2312" w:hAnsi="仿宋" w:cs="仿宋"/>
          <w:sz w:val="32"/>
          <w:szCs w:val="32"/>
          <w:lang w:val="en-US" w:eastAsia="zh-CN"/>
        </w:rPr>
        <w:t>；负责指导全区“两安”用地指标的清算；牵头组织农民安置房的分配，</w:t>
      </w:r>
      <w:r>
        <w:rPr>
          <w:rFonts w:hint="eastAsia" w:ascii="Times New Roman" w:hAnsi="Times New Roman" w:eastAsia="仿宋_GB2312" w:cs="Times New Roman"/>
          <w:szCs w:val="22"/>
          <w:lang w:eastAsia="zh-CN"/>
        </w:rPr>
        <w:t>全年累计实现</w:t>
      </w:r>
      <w:r>
        <w:rPr>
          <w:rFonts w:hint="default" w:ascii="Times New Roman" w:hAnsi="Times New Roman" w:eastAsia="仿宋_GB2312" w:cs="Times New Roman"/>
          <w:kern w:val="0"/>
          <w:lang w:eastAsia="zh-CN"/>
        </w:rPr>
        <w:t>分房</w:t>
      </w:r>
      <w:r>
        <w:rPr>
          <w:rFonts w:hint="eastAsia" w:ascii="Times New Roman" w:hAnsi="Times New Roman" w:eastAsia="仿宋_GB2312" w:cs="Times New Roman"/>
          <w:kern w:val="0"/>
          <w:lang w:val="en-US" w:eastAsia="zh-CN"/>
        </w:rPr>
        <w:t>14批次788</w:t>
      </w:r>
      <w:r>
        <w:rPr>
          <w:rFonts w:hint="default" w:ascii="Times New Roman" w:hAnsi="Times New Roman" w:eastAsia="仿宋_GB2312" w:cs="Times New Roman"/>
          <w:kern w:val="0"/>
          <w:lang w:eastAsia="zh-CN"/>
        </w:rPr>
        <w:t>套，</w:t>
      </w:r>
      <w:r>
        <w:rPr>
          <w:rFonts w:hint="eastAsia" w:ascii="Times New Roman" w:hAnsi="Times New Roman" w:eastAsia="仿宋_GB2312" w:cs="Times New Roman"/>
          <w:kern w:val="0"/>
          <w:lang w:val="en-US" w:eastAsia="zh-CN"/>
        </w:rPr>
        <w:t>455</w:t>
      </w:r>
      <w:r>
        <w:rPr>
          <w:rFonts w:hint="default" w:ascii="Times New Roman" w:hAnsi="Times New Roman" w:eastAsia="仿宋_GB2312" w:cs="Times New Roman"/>
          <w:kern w:val="0"/>
          <w:lang w:eastAsia="zh-CN"/>
        </w:rPr>
        <w:t>户拆迁群众喜获新居，安置指标</w:t>
      </w:r>
      <w:r>
        <w:rPr>
          <w:rFonts w:hint="eastAsia" w:ascii="Times New Roman" w:hAnsi="Times New Roman" w:eastAsia="仿宋_GB2312" w:cs="Times New Roman"/>
          <w:kern w:val="0"/>
          <w:lang w:val="en-US" w:eastAsia="zh-CN"/>
        </w:rPr>
        <w:t>965</w:t>
      </w:r>
      <w:r>
        <w:rPr>
          <w:rFonts w:hint="default" w:ascii="Times New Roman" w:hAnsi="Times New Roman" w:eastAsia="仿宋_GB2312" w:cs="Times New Roman"/>
          <w:kern w:val="0"/>
          <w:lang w:eastAsia="zh-CN"/>
        </w:rPr>
        <w:t>个</w:t>
      </w:r>
      <w:r>
        <w:rPr>
          <w:rFonts w:hint="eastAsia" w:ascii="仿宋_GB2312" w:hAnsi="仿宋" w:cs="仿宋"/>
          <w:sz w:val="32"/>
          <w:szCs w:val="32"/>
          <w:lang w:val="en-US" w:eastAsia="zh-CN"/>
        </w:rPr>
        <w:t>。</w:t>
      </w:r>
    </w:p>
    <w:p>
      <w:pPr>
        <w:widowControl/>
        <w:numPr>
          <w:ilvl w:val="0"/>
          <w:numId w:val="2"/>
        </w:numPr>
        <w:snapToGrid w:val="0"/>
        <w:spacing w:line="560" w:lineRule="exact"/>
        <w:ind w:left="1720" w:leftChars="0" w:hanging="1080" w:firstLineChars="0"/>
        <w:jc w:val="left"/>
        <w:rPr>
          <w:rFonts w:hint="eastAsia" w:ascii="仿宋_GB2312" w:hAnsi="仿宋" w:cs="仿宋"/>
          <w:sz w:val="32"/>
          <w:szCs w:val="32"/>
          <w:lang w:eastAsia="zh-CN"/>
        </w:rPr>
      </w:pPr>
      <w:r>
        <w:rPr>
          <w:rFonts w:hint="eastAsia" w:ascii="仿宋_GB2312" w:hAnsi="仿宋" w:cs="仿宋"/>
          <w:sz w:val="32"/>
          <w:szCs w:val="32"/>
          <w:lang w:eastAsia="zh-CN"/>
        </w:rPr>
        <w:t>绩效目标完成情况</w:t>
      </w:r>
    </w:p>
    <w:p>
      <w:pPr>
        <w:widowControl/>
        <w:numPr>
          <w:ilvl w:val="0"/>
          <w:numId w:val="0"/>
        </w:numPr>
        <w:snapToGrid w:val="0"/>
        <w:spacing w:line="560" w:lineRule="exact"/>
        <w:jc w:val="left"/>
        <w:rPr>
          <w:rFonts w:hint="eastAsia" w:ascii="仿宋_GB2312" w:hAnsi="仿宋" w:cs="仿宋"/>
          <w:sz w:val="32"/>
          <w:szCs w:val="32"/>
          <w:lang w:val="en-US" w:eastAsia="zh-CN"/>
        </w:rPr>
      </w:pPr>
      <w:r>
        <w:rPr>
          <w:rFonts w:hint="eastAsia" w:ascii="仿宋_GB2312" w:hAnsi="仿宋" w:cs="仿宋"/>
          <w:sz w:val="32"/>
          <w:szCs w:val="32"/>
          <w:lang w:val="en-US" w:eastAsia="zh-CN"/>
        </w:rPr>
        <w:t xml:space="preserve">  按照本市预算绩效管理工作的总体要求，2021年本单位整体支出24661.04万元，全部实行整体支出绩效目标管理，编报绩效目标的项目106个，涉及项目支出24244.83万元。</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全年共铺排拆迁项目106个，累计实现腾地4639亩。其中：新启动项目58个，53个已完成签约（11个已结算交地）；扫尾项目48个，39个已结算交地。一是新项目推进效果好。全区共启动新项目58个（含33个新程序项目），征地面积3123亩，动迁人口3391人，拆迁房屋631栋999户。</w:t>
      </w:r>
    </w:p>
    <w:p>
      <w:pPr>
        <w:pStyle w:val="2"/>
        <w:keepNext w:val="0"/>
        <w:keepLines w:val="0"/>
        <w:pageBreakBefore w:val="0"/>
        <w:widowControl w:val="0"/>
        <w:kinsoku/>
        <w:wordWrap/>
        <w:overflowPunct/>
        <w:topLinePunct w:val="0"/>
        <w:autoSpaceDE/>
        <w:autoSpaceDN/>
        <w:bidi w:val="0"/>
        <w:adjustRightInd w:val="0"/>
        <w:snapToGrid w:val="0"/>
        <w:spacing w:after="0" w:afterAutospacing="0" w:line="480" w:lineRule="exact"/>
        <w:ind w:left="0" w:leftChars="0" w:firstLine="0" w:firstLineChars="0"/>
        <w:textAlignment w:val="auto"/>
        <w:outlineLvl w:val="9"/>
        <w:rPr>
          <w:rFonts w:ascii="Times New Roman" w:hAnsi="Times New Roman" w:eastAsia="黑体" w:cs="Times New Roman"/>
          <w:sz w:val="32"/>
          <w:szCs w:val="32"/>
        </w:rPr>
      </w:pPr>
      <w:bookmarkStart w:id="0" w:name="_GoBack"/>
      <w:bookmarkEnd w:id="0"/>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keepNext w:val="0"/>
        <w:keepLines w:val="0"/>
        <w:pageBreakBefore w:val="0"/>
        <w:widowControl/>
        <w:kinsoku/>
        <w:wordWrap/>
        <w:overflowPunct/>
        <w:topLinePunct w:val="0"/>
        <w:autoSpaceDE/>
        <w:autoSpaceDN/>
        <w:bidi w:val="0"/>
        <w:spacing w:afterAutospacing="0" w:line="480" w:lineRule="exact"/>
        <w:ind w:firstLine="645"/>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存在的问题：因年中业务工作经费纳入预算一体化管理导致决算数与预算数差距较大。</w:t>
      </w:r>
    </w:p>
    <w:p>
      <w:pPr>
        <w:pStyle w:val="2"/>
        <w:keepNext w:val="0"/>
        <w:keepLines w:val="0"/>
        <w:pageBreakBefore w:val="0"/>
        <w:kinsoku/>
        <w:wordWrap/>
        <w:overflowPunct/>
        <w:topLinePunct w:val="0"/>
        <w:autoSpaceDE/>
        <w:autoSpaceDN/>
        <w:bidi w:val="0"/>
        <w:spacing w:afterAutospacing="0"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改进措施：严格根据本年决算情况预计好来年的业务工作经费。</w:t>
      </w:r>
    </w:p>
    <w:p>
      <w:pPr>
        <w:keepNext w:val="0"/>
        <w:keepLines w:val="0"/>
        <w:pageBreakBefore w:val="0"/>
        <w:widowControl/>
        <w:numPr>
          <w:ilvl w:val="0"/>
          <w:numId w:val="3"/>
        </w:numPr>
        <w:kinsoku/>
        <w:wordWrap/>
        <w:overflowPunct/>
        <w:topLinePunct w:val="0"/>
        <w:autoSpaceDE/>
        <w:autoSpaceDN/>
        <w:bidi w:val="0"/>
        <w:spacing w:afterAutospacing="0" w:line="480" w:lineRule="exact"/>
        <w:ind w:firstLine="645"/>
        <w:jc w:val="left"/>
        <w:textAlignment w:val="auto"/>
      </w:pPr>
      <w:r>
        <w:rPr>
          <w:rFonts w:ascii="Times New Roman" w:hAnsi="Times New Roman" w:eastAsia="黑体" w:cs="Times New Roman"/>
          <w:sz w:val="32"/>
          <w:szCs w:val="32"/>
        </w:rPr>
        <w:t>绩效自评结果拟应用和公开情况</w:t>
      </w:r>
    </w:p>
    <w:p>
      <w:pPr>
        <w:pStyle w:val="2"/>
        <w:keepNext w:val="0"/>
        <w:keepLines w:val="0"/>
        <w:pageBreakBefore w:val="0"/>
        <w:widowControl/>
        <w:kinsoku/>
        <w:wordWrap/>
        <w:overflowPunct/>
        <w:topLinePunct w:val="0"/>
        <w:autoSpaceDE/>
        <w:autoSpaceDN/>
        <w:bidi w:val="0"/>
        <w:adjustRightInd/>
        <w:snapToGrid/>
        <w:spacing w:afterAutospacing="0"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按要求自评后在预决算专栏进行公开。</w:t>
      </w:r>
    </w:p>
    <w:p>
      <w:pPr>
        <w:keepNext w:val="0"/>
        <w:keepLines w:val="0"/>
        <w:pageBreakBefore w:val="0"/>
        <w:widowControl/>
        <w:numPr>
          <w:ilvl w:val="0"/>
          <w:numId w:val="3"/>
        </w:numPr>
        <w:kinsoku/>
        <w:wordWrap/>
        <w:overflowPunct/>
        <w:topLinePunct w:val="0"/>
        <w:autoSpaceDE/>
        <w:autoSpaceDN/>
        <w:bidi w:val="0"/>
        <w:spacing w:afterAutospacing="0" w:line="480" w:lineRule="exact"/>
        <w:ind w:left="0" w:leftChars="0" w:firstLine="645" w:firstLineChars="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其他需要说明的情况</w:t>
      </w:r>
    </w:p>
    <w:p>
      <w:pPr>
        <w:pStyle w:val="2"/>
        <w:keepNext w:val="0"/>
        <w:keepLines w:val="0"/>
        <w:pageBreakBefore w:val="0"/>
        <w:widowControl/>
        <w:numPr>
          <w:ilvl w:val="0"/>
          <w:numId w:val="0"/>
        </w:numPr>
        <w:kinsoku/>
        <w:wordWrap/>
        <w:overflowPunct/>
        <w:topLinePunct w:val="0"/>
        <w:autoSpaceDE/>
        <w:autoSpaceDN/>
        <w:bidi w:val="0"/>
        <w:adjustRightInd/>
        <w:snapToGrid/>
        <w:spacing w:afterAutospacing="0" w:line="480" w:lineRule="exact"/>
        <w:ind w:left="646" w:left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8D538"/>
    <w:multiLevelType w:val="singleLevel"/>
    <w:tmpl w:val="8508D538"/>
    <w:lvl w:ilvl="0" w:tentative="0">
      <w:start w:val="5"/>
      <w:numFmt w:val="chineseCounting"/>
      <w:suff w:val="nothing"/>
      <w:lvlText w:val="%1、"/>
      <w:lvlJc w:val="left"/>
      <w:rPr>
        <w:rFonts w:hint="eastAsia"/>
      </w:rPr>
    </w:lvl>
  </w:abstractNum>
  <w:abstractNum w:abstractNumId="1">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NmQxMGU5MzU1MmUxOGQxNjY5ZWM2ZGJmNDFmOTkifQ=="/>
  </w:docVars>
  <w:rsids>
    <w:rsidRoot w:val="00000000"/>
    <w:rsid w:val="012750B4"/>
    <w:rsid w:val="012F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r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2533</Words>
  <Characters>2712</Characters>
  <Lines>0</Lines>
  <Paragraphs>0</Paragraphs>
  <TotalTime>1</TotalTime>
  <ScaleCrop>false</ScaleCrop>
  <LinksUpToDate>false</LinksUpToDate>
  <CharactersWithSpaces>2728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2022-09-15T07:26:00Z</dcterms:created>
  <dc:creator>Administrator</dc:creator>
  <cp:lastModifiedBy>Surprisetome丶</cp:lastModifiedBy>
  <dcterms:modified xsi:type="dcterms:W3CDTF">2022-09-15T08:41:02Z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BE5F04BBDA7248ED82751E9E1BBDB694</vt:lpwstr>
  </property>
</Properties>
</file>