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楷体_GB2312"/>
          <w:bCs/>
          <w:kern w:val="0"/>
          <w:sz w:val="48"/>
          <w:szCs w:val="48"/>
        </w:rPr>
      </w:pPr>
      <w:r>
        <w:rPr>
          <w:rFonts w:hint="eastAsia" w:ascii="宋体" w:hAnsi="宋体" w:eastAsia="宋体" w:cs="宋体"/>
          <w:b/>
          <w:bCs/>
          <w:sz w:val="44"/>
          <w:szCs w:val="44"/>
        </w:rPr>
        <w:t xml:space="preserve"> </w:t>
      </w:r>
      <w:r>
        <w:rPr>
          <w:rFonts w:hint="eastAsia" w:ascii="仿宋" w:hAnsi="仿宋" w:eastAsia="仿宋" w:cs="仿宋"/>
          <w:b/>
          <w:bCs/>
          <w:kern w:val="0"/>
          <w:sz w:val="48"/>
          <w:szCs w:val="48"/>
          <w:lang w:val="en-US" w:eastAsia="zh-CN"/>
        </w:rPr>
        <w:t>2021</w:t>
      </w:r>
      <w:r>
        <w:rPr>
          <w:rFonts w:hint="eastAsia" w:ascii="仿宋" w:hAnsi="仿宋" w:eastAsia="仿宋" w:cs="仿宋"/>
          <w:b/>
          <w:bCs/>
          <w:kern w:val="0"/>
          <w:sz w:val="48"/>
          <w:szCs w:val="48"/>
        </w:rPr>
        <w:t>年</w:t>
      </w:r>
      <w:r>
        <w:rPr>
          <w:rFonts w:hint="default" w:ascii="仿宋" w:hAnsi="仿宋" w:eastAsia="仿宋" w:cs="仿宋"/>
          <w:b/>
          <w:bCs/>
          <w:kern w:val="0"/>
          <w:sz w:val="48"/>
          <w:szCs w:val="48"/>
        </w:rPr>
        <w:t>区征地服务中心</w:t>
      </w:r>
      <w:r>
        <w:rPr>
          <w:rFonts w:hint="eastAsia" w:ascii="仿宋" w:hAnsi="仿宋" w:eastAsia="仿宋" w:cs="仿宋"/>
          <w:b/>
          <w:bCs/>
          <w:kern w:val="0"/>
          <w:sz w:val="48"/>
          <w:szCs w:val="48"/>
        </w:rPr>
        <w:t>部门预算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48"/>
          <w:szCs w:val="48"/>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kern w:val="0"/>
          <w:sz w:val="32"/>
          <w:szCs w:val="32"/>
        </w:rPr>
      </w:pPr>
      <w:r>
        <w:rPr>
          <w:rFonts w:eastAsia="黑体"/>
          <w:bCs/>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2021年部门预算说明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一、部门基本概况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二、部门预算单位构成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34"/>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三、部门收支总体情况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四、一般公共预算拨款支出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五、政府性基金预算支出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六、其他重要事项的情况说明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b/>
          <w:bCs/>
          <w:color w:val="auto"/>
          <w:kern w:val="0"/>
          <w:sz w:val="32"/>
          <w:szCs w:val="32"/>
        </w:rPr>
      </w:pPr>
      <w:r>
        <w:rPr>
          <w:rFonts w:hint="eastAsia" w:ascii="仿宋" w:hAnsi="仿宋" w:eastAsia="仿宋" w:cs="仿宋"/>
          <w:i w:val="0"/>
          <w:iCs w:val="0"/>
          <w:caps w:val="0"/>
          <w:color w:val="auto"/>
          <w:spacing w:val="0"/>
          <w:sz w:val="32"/>
          <w:szCs w:val="32"/>
          <w:shd w:val="clear" w:fill="FFFFFF"/>
        </w:rPr>
        <w:t>七、名词解释</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eastAsia="仿宋_GB2312"/>
          <w:b/>
          <w:bCs/>
          <w:kern w:val="0"/>
          <w:sz w:val="32"/>
          <w:szCs w:val="32"/>
        </w:rPr>
      </w:pPr>
      <w:r>
        <w:rPr>
          <w:rFonts w:hint="eastAsia" w:ascii="黑体" w:hAnsi="黑体" w:eastAsia="黑体" w:cs="黑体"/>
          <w:b/>
          <w:bCs/>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4、财政拨款收支</w:t>
      </w:r>
      <w:r>
        <w:rPr>
          <w:rFonts w:hint="eastAsia" w:ascii="仿宋" w:hAnsi="仿宋" w:eastAsia="仿宋" w:cs="仿宋"/>
          <w:sz w:val="32"/>
          <w:szCs w:val="32"/>
          <w:lang w:val="en-US" w:eastAsia="zh-CN"/>
        </w:rPr>
        <w:t>总</w:t>
      </w:r>
      <w:r>
        <w:rPr>
          <w:rFonts w:hint="eastAsia" w:ascii="仿宋" w:hAnsi="仿宋" w:eastAsia="仿宋" w:cs="仿宋"/>
          <w:sz w:val="32"/>
          <w:szCs w:val="32"/>
        </w:rPr>
        <w:t>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eastAsia="仿宋_GB2312"/>
          <w:bCs/>
          <w:kern w:val="0"/>
          <w:sz w:val="32"/>
          <w:szCs w:val="32"/>
        </w:rPr>
      </w:pP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整体支出绩效目标表</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方正小标宋_GBK"/>
          <w:bCs/>
          <w:kern w:val="0"/>
          <w:sz w:val="36"/>
          <w:szCs w:val="36"/>
        </w:rPr>
      </w:pPr>
      <w:r>
        <w:rPr>
          <w:rFonts w:hint="eastAsia" w:ascii="黑体" w:hAnsi="黑体" w:eastAsia="黑体" w:cs="黑体"/>
          <w:b/>
          <w:bCs w:val="0"/>
          <w:kern w:val="0"/>
          <w:sz w:val="44"/>
          <w:szCs w:val="44"/>
        </w:rPr>
        <w:t xml:space="preserve">第一部分 </w:t>
      </w:r>
      <w:r>
        <w:rPr>
          <w:rFonts w:hint="eastAsia" w:ascii="黑体" w:hAnsi="黑体" w:eastAsia="黑体" w:cs="黑体"/>
          <w:b/>
          <w:bCs w:val="0"/>
          <w:kern w:val="0"/>
          <w:sz w:val="44"/>
          <w:szCs w:val="44"/>
          <w:lang w:val="en-US" w:eastAsia="zh-CN"/>
        </w:rPr>
        <w:t>2021年</w:t>
      </w:r>
      <w:r>
        <w:rPr>
          <w:rFonts w:hint="eastAsia" w:ascii="黑体" w:hAnsi="黑体" w:eastAsia="黑体" w:cs="黑体"/>
          <w:b/>
          <w:bCs w:val="0"/>
          <w:kern w:val="0"/>
          <w:sz w:val="44"/>
          <w:szCs w:val="44"/>
        </w:rPr>
        <w:t>部门预算说明</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eastAsia="仿宋_GB2312"/>
          <w:b/>
          <w:bCs/>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bCs/>
          <w:kern w:val="0"/>
          <w:sz w:val="32"/>
          <w:szCs w:val="32"/>
        </w:rPr>
      </w:pPr>
      <w:r>
        <w:rPr>
          <w:rFonts w:eastAsia="黑体"/>
          <w:bCs/>
          <w:kern w:val="0"/>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cs="仿宋"/>
          <w:b/>
          <w:sz w:val="32"/>
          <w:szCs w:val="32"/>
        </w:rPr>
      </w:pPr>
      <w:r>
        <w:rPr>
          <w:rFonts w:hint="eastAsia" w:ascii="仿宋" w:hAnsi="仿宋" w:eastAsia="仿宋" w:cs="仿宋"/>
          <w:b/>
          <w:sz w:val="32"/>
          <w:szCs w:val="32"/>
        </w:rPr>
        <w:t>（一）职能职责。</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负责全区集体土地征地拆迁安置（保障住房建设除外）事务性工作；负责编制全区集体土地征地拆迁项目年度计划；协助土地行政管理部门拟订征地公告，由区人民政府批准后发布，并报市局备案；组织被征地农民保障住房的分配；负责被征地农民保障住房安置指标、社保用地指标的申报和落实；配合做好被征地农民的就业培训和社会保障等相关事务。</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left="0" w:right="0" w:firstLine="456"/>
        <w:jc w:val="both"/>
        <w:textAlignment w:val="auto"/>
        <w:rPr>
          <w:rFonts w:hint="eastAsia" w:ascii="仿宋" w:hAnsi="仿宋" w:eastAsia="仿宋" w:cs="仿宋"/>
          <w:b/>
          <w:sz w:val="32"/>
          <w:szCs w:val="32"/>
        </w:rPr>
      </w:pPr>
      <w:r>
        <w:rPr>
          <w:rFonts w:hint="eastAsia" w:ascii="仿宋" w:hAnsi="仿宋" w:eastAsia="仿宋" w:cs="仿宋"/>
          <w:b/>
          <w:sz w:val="32"/>
          <w:szCs w:val="32"/>
        </w:rPr>
        <w:t>机构设置。</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我单位内设1办3科，即综合办公室、拆迁管理科、安置审核科、财务管理科。</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b/>
          <w:sz w:val="32"/>
          <w:szCs w:val="32"/>
        </w:rPr>
      </w:pPr>
      <w:r>
        <w:rPr>
          <w:rFonts w:hint="eastAsia" w:ascii="仿宋" w:hAnsi="仿宋" w:eastAsia="仿宋" w:cs="仿宋"/>
          <w:sz w:val="32"/>
          <w:szCs w:val="32"/>
        </w:rPr>
        <w:t>人员编制。我单位核定全额拨款事业编制9名，其中班子成员3名。目前共有工作人员21名，其中在编人员9名，聘用人员12名。</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eastAsia="黑体"/>
          <w:kern w:val="0"/>
          <w:sz w:val="32"/>
          <w:szCs w:val="32"/>
        </w:rPr>
      </w:pPr>
      <w:r>
        <w:rPr>
          <w:rFonts w:eastAsia="黑体"/>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27" w:firstLineChars="196"/>
        <w:jc w:val="left"/>
        <w:textAlignment w:val="auto"/>
        <w:rPr>
          <w:rFonts w:hint="eastAsia" w:ascii="仿宋" w:hAnsi="仿宋" w:eastAsia="仿宋" w:cs="仿宋"/>
          <w:sz w:val="32"/>
          <w:szCs w:val="32"/>
        </w:rPr>
      </w:pPr>
      <w:r>
        <w:rPr>
          <w:rFonts w:hint="eastAsia" w:ascii="仿宋" w:hAnsi="仿宋" w:eastAsia="仿宋" w:cs="仿宋"/>
          <w:sz w:val="32"/>
          <w:szCs w:val="32"/>
        </w:rPr>
        <w:t>本部门预算为汇总预算，纳入编制范围的预算单位包括：</w:t>
      </w:r>
    </w:p>
    <w:p>
      <w:pPr>
        <w:keepNext w:val="0"/>
        <w:keepLines w:val="0"/>
        <w:pageBreakBefore w:val="0"/>
        <w:widowControl/>
        <w:kinsoku/>
        <w:wordWrap/>
        <w:overflowPunct/>
        <w:topLinePunct w:val="0"/>
        <w:autoSpaceDE/>
        <w:autoSpaceDN/>
        <w:bidi w:val="0"/>
        <w:adjustRightInd/>
        <w:snapToGrid/>
        <w:spacing w:line="600" w:lineRule="exact"/>
        <w:ind w:firstLine="627" w:firstLineChars="196"/>
        <w:textAlignment w:val="auto"/>
        <w:rPr>
          <w:rFonts w:hint="eastAsia" w:ascii="仿宋" w:hAnsi="仿宋" w:eastAsia="仿宋" w:cs="仿宋"/>
          <w:sz w:val="32"/>
          <w:szCs w:val="32"/>
        </w:rPr>
      </w:pPr>
      <w:r>
        <w:rPr>
          <w:rFonts w:hint="eastAsia" w:ascii="仿宋" w:hAnsi="仿宋" w:eastAsia="仿宋" w:cs="仿宋"/>
          <w:sz w:val="32"/>
          <w:szCs w:val="32"/>
        </w:rPr>
        <w:t>开福区征地服务中心部门只有本级，没有其他预算单位，因此本部门预算仅含本级预算。</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eastAsia="黑体"/>
          <w:bCs/>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eastAsia="黑体"/>
          <w:bCs/>
          <w:kern w:val="0"/>
          <w:sz w:val="32"/>
          <w:szCs w:val="32"/>
          <w:lang w:val="en-US" w:eastAsia="zh-CN"/>
        </w:rPr>
      </w:pPr>
      <w:bookmarkStart w:id="0" w:name="_GoBack"/>
      <w:bookmarkEnd w:id="0"/>
      <w:r>
        <w:rPr>
          <w:rFonts w:hint="eastAsia" w:eastAsia="黑体"/>
          <w:bCs/>
          <w:kern w:val="0"/>
          <w:sz w:val="32"/>
          <w:szCs w:val="32"/>
          <w:lang w:val="en-US" w:eastAsia="zh-CN"/>
        </w:rPr>
        <w:t>三、</w:t>
      </w:r>
      <w:r>
        <w:rPr>
          <w:rFonts w:eastAsia="黑体"/>
          <w:bCs/>
          <w:kern w:val="0"/>
          <w:sz w:val="32"/>
          <w:szCs w:val="32"/>
        </w:rPr>
        <w:t>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30" w:firstLineChars="196"/>
        <w:textAlignment w:val="auto"/>
        <w:rPr>
          <w:rFonts w:hint="eastAsia" w:ascii="仿宋" w:hAnsi="仿宋" w:eastAsia="仿宋" w:cs="仿宋"/>
          <w:b w:val="0"/>
          <w:bCs w:val="0"/>
          <w:sz w:val="32"/>
          <w:szCs w:val="32"/>
        </w:rPr>
      </w:pPr>
      <w:r>
        <w:rPr>
          <w:rFonts w:hint="eastAsia" w:ascii="仿宋" w:hAnsi="仿宋" w:eastAsia="仿宋" w:cs="仿宋"/>
          <w:b/>
          <w:sz w:val="32"/>
          <w:szCs w:val="32"/>
        </w:rPr>
        <w:t>（一）收入预算：</w:t>
      </w:r>
      <w:r>
        <w:rPr>
          <w:rFonts w:hint="eastAsia" w:ascii="仿宋" w:hAnsi="仿宋" w:eastAsia="仿宋" w:cs="仿宋"/>
          <w:b w:val="0"/>
          <w:bCs w:val="0"/>
          <w:sz w:val="32"/>
          <w:szCs w:val="32"/>
        </w:rPr>
        <w:t>包括一般公共预算、政府性基金、国有资本经营预算等财政拨款收入，以及经营收入、事业收入等单位资金。</w:t>
      </w:r>
      <w:r>
        <w:rPr>
          <w:rFonts w:hint="eastAsia" w:ascii="仿宋" w:hAnsi="仿宋" w:eastAsia="仿宋" w:cs="仿宋"/>
          <w:b w:val="0"/>
          <w:bCs w:val="0"/>
          <w:sz w:val="32"/>
          <w:szCs w:val="32"/>
          <w:lang w:val="en-US" w:eastAsia="zh-CN"/>
        </w:rPr>
        <w:t>2021</w:t>
      </w:r>
      <w:r>
        <w:rPr>
          <w:rFonts w:hint="eastAsia" w:ascii="仿宋" w:hAnsi="仿宋" w:eastAsia="仿宋" w:cs="仿宋"/>
          <w:b w:val="0"/>
          <w:bCs w:val="0"/>
          <w:sz w:val="32"/>
          <w:szCs w:val="32"/>
        </w:rPr>
        <w:t>年本部门收入预算</w:t>
      </w:r>
      <w:r>
        <w:rPr>
          <w:rFonts w:hint="eastAsia" w:ascii="仿宋" w:hAnsi="仿宋" w:eastAsia="仿宋" w:cs="仿宋"/>
          <w:b w:val="0"/>
          <w:bCs w:val="0"/>
          <w:sz w:val="32"/>
          <w:szCs w:val="32"/>
          <w:lang w:val="en-US" w:eastAsia="zh-CN"/>
        </w:rPr>
        <w:t>394.65</w:t>
      </w:r>
      <w:r>
        <w:rPr>
          <w:rFonts w:hint="eastAsia" w:ascii="仿宋" w:hAnsi="仿宋" w:eastAsia="仿宋" w:cs="仿宋"/>
          <w:b w:val="0"/>
          <w:bCs w:val="0"/>
          <w:sz w:val="32"/>
          <w:szCs w:val="32"/>
        </w:rPr>
        <w:t>万元，其中</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一般公共预算拨款</w:t>
      </w:r>
      <w:r>
        <w:rPr>
          <w:rFonts w:hint="eastAsia" w:ascii="仿宋" w:hAnsi="仿宋" w:eastAsia="仿宋" w:cs="仿宋"/>
          <w:b w:val="0"/>
          <w:bCs w:val="0"/>
          <w:sz w:val="32"/>
          <w:szCs w:val="32"/>
          <w:lang w:val="en-US" w:eastAsia="zh-CN"/>
        </w:rPr>
        <w:t>394.65</w:t>
      </w:r>
      <w:r>
        <w:rPr>
          <w:rFonts w:hint="eastAsia" w:ascii="仿宋" w:hAnsi="仿宋" w:eastAsia="仿宋" w:cs="仿宋"/>
          <w:b w:val="0"/>
          <w:bCs w:val="0"/>
          <w:sz w:val="32"/>
          <w:szCs w:val="32"/>
        </w:rPr>
        <w:t>万元，政府性基金预算拨款</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万元，国有资本经营预算拨款</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万元，纳入专户管理的非税收入</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万元，上年结转结余</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万元。收入较去年增加</w:t>
      </w:r>
      <w:r>
        <w:rPr>
          <w:rFonts w:hint="eastAsia" w:ascii="仿宋" w:hAnsi="仿宋" w:eastAsia="仿宋" w:cs="仿宋"/>
          <w:b w:val="0"/>
          <w:bCs w:val="0"/>
          <w:sz w:val="32"/>
          <w:szCs w:val="32"/>
          <w:lang w:val="en-US" w:eastAsia="zh-CN"/>
        </w:rPr>
        <w:t>29.15</w:t>
      </w:r>
      <w:r>
        <w:rPr>
          <w:rFonts w:hint="eastAsia" w:ascii="仿宋" w:hAnsi="仿宋" w:eastAsia="仿宋" w:cs="仿宋"/>
          <w:b w:val="0"/>
          <w:bCs w:val="0"/>
          <w:sz w:val="32"/>
          <w:szCs w:val="32"/>
        </w:rPr>
        <w:t>万元，</w:t>
      </w:r>
      <w:r>
        <w:rPr>
          <w:rFonts w:hint="eastAsia" w:ascii="仿宋" w:hAnsi="仿宋" w:eastAsia="仿宋" w:cs="仿宋"/>
          <w:b w:val="0"/>
          <w:bCs w:val="0"/>
          <w:color w:val="auto"/>
          <w:sz w:val="32"/>
          <w:szCs w:val="32"/>
          <w:highlight w:val="none"/>
          <w:lang w:val="en-US" w:eastAsia="zh-CN"/>
        </w:rPr>
        <w:t>上升</w:t>
      </w:r>
      <w:r>
        <w:rPr>
          <w:rFonts w:hint="eastAsia" w:ascii="仿宋" w:hAnsi="仿宋" w:eastAsia="仿宋" w:cs="仿宋"/>
          <w:b/>
          <w:bCs/>
          <w:color w:val="auto"/>
          <w:sz w:val="32"/>
          <w:szCs w:val="32"/>
          <w:highlight w:val="none"/>
          <w:lang w:val="en-US" w:eastAsia="zh-CN"/>
        </w:rPr>
        <w:t>7.98%</w:t>
      </w:r>
      <w:r>
        <w:rPr>
          <w:rFonts w:hint="eastAsia" w:ascii="仿宋" w:hAnsi="仿宋" w:eastAsia="仿宋" w:cs="仿宋"/>
          <w:b w:val="0"/>
          <w:bCs w:val="0"/>
          <w:color w:val="auto"/>
          <w:sz w:val="32"/>
          <w:szCs w:val="32"/>
          <w:lang w:val="en-US" w:eastAsia="zh-CN"/>
        </w:rPr>
        <w:t>，</w:t>
      </w:r>
      <w:r>
        <w:rPr>
          <w:rFonts w:hint="eastAsia" w:ascii="仿宋" w:hAnsi="仿宋" w:eastAsia="仿宋" w:cs="仿宋"/>
          <w:b w:val="0"/>
          <w:bCs w:val="0"/>
          <w:sz w:val="32"/>
          <w:szCs w:val="32"/>
        </w:rPr>
        <w:t>主要是经费类别较去年增多。</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eastAsia" w:ascii="仿宋" w:hAnsi="仿宋" w:eastAsia="仿宋" w:cs="仿宋"/>
          <w:b w:val="0"/>
          <w:bCs/>
          <w:sz w:val="32"/>
          <w:szCs w:val="32"/>
        </w:rPr>
      </w:pPr>
      <w:r>
        <w:rPr>
          <w:rFonts w:hint="eastAsia" w:ascii="仿宋" w:hAnsi="仿宋" w:eastAsia="仿宋" w:cs="仿宋"/>
          <w:b/>
          <w:sz w:val="32"/>
          <w:szCs w:val="32"/>
        </w:rPr>
        <w:t>（二）支出预算：</w:t>
      </w:r>
      <w:r>
        <w:rPr>
          <w:rFonts w:hint="eastAsia" w:ascii="仿宋" w:hAnsi="仿宋" w:eastAsia="仿宋" w:cs="仿宋"/>
          <w:b w:val="0"/>
          <w:bCs/>
          <w:sz w:val="32"/>
          <w:szCs w:val="32"/>
          <w:lang w:val="en-US" w:eastAsia="zh-CN"/>
        </w:rPr>
        <w:t>2021</w:t>
      </w:r>
      <w:r>
        <w:rPr>
          <w:rFonts w:hint="eastAsia" w:ascii="仿宋" w:hAnsi="仿宋" w:eastAsia="仿宋" w:cs="仿宋"/>
          <w:b w:val="0"/>
          <w:bCs/>
          <w:sz w:val="32"/>
          <w:szCs w:val="32"/>
        </w:rPr>
        <w:t>年本部门支出预算</w:t>
      </w:r>
      <w:r>
        <w:rPr>
          <w:rFonts w:hint="eastAsia" w:ascii="仿宋" w:hAnsi="仿宋" w:eastAsia="仿宋" w:cs="仿宋"/>
          <w:b w:val="0"/>
          <w:bCs/>
          <w:sz w:val="32"/>
          <w:szCs w:val="32"/>
          <w:lang w:val="en-US" w:eastAsia="zh-CN"/>
        </w:rPr>
        <w:t>394.65</w:t>
      </w:r>
      <w:r>
        <w:rPr>
          <w:rFonts w:hint="eastAsia" w:ascii="仿宋" w:hAnsi="仿宋" w:eastAsia="仿宋" w:cs="仿宋"/>
          <w:b w:val="0"/>
          <w:bCs/>
          <w:sz w:val="32"/>
          <w:szCs w:val="32"/>
        </w:rPr>
        <w:t>万元，其中，</w:t>
      </w:r>
      <w:r>
        <w:rPr>
          <w:rFonts w:hint="eastAsia" w:ascii="仿宋" w:hAnsi="仿宋" w:eastAsia="仿宋" w:cs="仿宋"/>
          <w:b w:val="0"/>
          <w:bCs/>
          <w:color w:val="auto"/>
          <w:sz w:val="32"/>
          <w:szCs w:val="32"/>
        </w:rPr>
        <w:t>一般公共服务</w:t>
      </w:r>
      <w:r>
        <w:rPr>
          <w:rFonts w:hint="eastAsia" w:ascii="仿宋" w:hAnsi="仿宋" w:eastAsia="仿宋" w:cs="仿宋"/>
          <w:b w:val="0"/>
          <w:bCs/>
          <w:color w:val="auto"/>
          <w:sz w:val="32"/>
          <w:szCs w:val="32"/>
          <w:lang w:val="en-US" w:eastAsia="zh-CN"/>
        </w:rPr>
        <w:t>支出374.34</w:t>
      </w:r>
      <w:r>
        <w:rPr>
          <w:rFonts w:hint="eastAsia" w:ascii="仿宋" w:hAnsi="仿宋" w:eastAsia="仿宋" w:cs="仿宋"/>
          <w:b w:val="0"/>
          <w:bCs/>
          <w:color w:val="auto"/>
          <w:sz w:val="32"/>
          <w:szCs w:val="32"/>
        </w:rPr>
        <w:t>万元，</w:t>
      </w:r>
      <w:r>
        <w:rPr>
          <w:rFonts w:hint="eastAsia" w:ascii="仿宋" w:hAnsi="仿宋" w:eastAsia="仿宋" w:cs="仿宋"/>
          <w:b w:val="0"/>
          <w:bCs/>
          <w:color w:val="auto"/>
          <w:sz w:val="32"/>
          <w:szCs w:val="32"/>
          <w:lang w:val="en-US" w:eastAsia="zh-CN"/>
        </w:rPr>
        <w:t>住房保障支出20.31万元。</w:t>
      </w:r>
      <w:r>
        <w:rPr>
          <w:rFonts w:hint="eastAsia" w:ascii="仿宋" w:hAnsi="仿宋" w:eastAsia="仿宋" w:cs="仿宋"/>
          <w:b w:val="0"/>
          <w:bCs/>
          <w:color w:val="auto"/>
          <w:sz w:val="32"/>
          <w:szCs w:val="32"/>
        </w:rPr>
        <w:t>支出较去年增加</w:t>
      </w:r>
      <w:r>
        <w:rPr>
          <w:rFonts w:hint="eastAsia" w:ascii="仿宋" w:hAnsi="仿宋" w:eastAsia="仿宋" w:cs="仿宋"/>
          <w:b w:val="0"/>
          <w:bCs/>
          <w:color w:val="auto"/>
          <w:sz w:val="32"/>
          <w:szCs w:val="32"/>
          <w:lang w:val="en-US" w:eastAsia="zh-CN"/>
        </w:rPr>
        <w:t>29.15</w:t>
      </w:r>
      <w:r>
        <w:rPr>
          <w:rFonts w:hint="eastAsia" w:ascii="仿宋" w:hAnsi="仿宋" w:eastAsia="仿宋" w:cs="仿宋"/>
          <w:b w:val="0"/>
          <w:bCs/>
          <w:color w:val="auto"/>
          <w:sz w:val="32"/>
          <w:szCs w:val="32"/>
        </w:rPr>
        <w:t>万元，</w:t>
      </w:r>
      <w:r>
        <w:rPr>
          <w:rFonts w:hint="eastAsia" w:ascii="仿宋" w:hAnsi="仿宋" w:eastAsia="仿宋" w:cs="仿宋"/>
          <w:b w:val="0"/>
          <w:bCs/>
          <w:color w:val="auto"/>
          <w:sz w:val="32"/>
          <w:szCs w:val="32"/>
          <w:lang w:val="en-US" w:eastAsia="zh-CN"/>
        </w:rPr>
        <w:t>上升7.98%，</w:t>
      </w:r>
      <w:r>
        <w:rPr>
          <w:rFonts w:hint="eastAsia" w:ascii="仿宋" w:hAnsi="仿宋" w:eastAsia="仿宋" w:cs="仿宋"/>
          <w:b w:val="0"/>
          <w:bCs/>
          <w:color w:val="auto"/>
          <w:sz w:val="32"/>
          <w:szCs w:val="32"/>
        </w:rPr>
        <w:t>主</w:t>
      </w:r>
      <w:r>
        <w:rPr>
          <w:rFonts w:hint="eastAsia" w:ascii="仿宋" w:hAnsi="仿宋" w:eastAsia="仿宋" w:cs="仿宋"/>
          <w:b w:val="0"/>
          <w:bCs/>
          <w:sz w:val="32"/>
          <w:szCs w:val="32"/>
        </w:rPr>
        <w:t>要是经费类别较去年增多。</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2021</w:t>
      </w:r>
      <w:r>
        <w:rPr>
          <w:rFonts w:hint="eastAsia" w:ascii="仿宋" w:hAnsi="仿宋" w:eastAsia="仿宋" w:cs="仿宋"/>
          <w:b w:val="0"/>
          <w:bCs w:val="0"/>
          <w:color w:val="auto"/>
          <w:sz w:val="32"/>
          <w:szCs w:val="32"/>
        </w:rPr>
        <w:t>年本部门一般公共预算拨款支出预算</w:t>
      </w:r>
      <w:r>
        <w:rPr>
          <w:rFonts w:hint="eastAsia" w:ascii="仿宋" w:hAnsi="仿宋" w:eastAsia="仿宋" w:cs="仿宋"/>
          <w:b w:val="0"/>
          <w:bCs w:val="0"/>
          <w:color w:val="auto"/>
          <w:sz w:val="32"/>
          <w:szCs w:val="32"/>
          <w:lang w:val="en-US" w:eastAsia="zh-CN"/>
        </w:rPr>
        <w:t>394.65</w:t>
      </w:r>
      <w:r>
        <w:rPr>
          <w:rFonts w:hint="eastAsia" w:ascii="仿宋" w:hAnsi="仿宋" w:eastAsia="仿宋" w:cs="仿宋"/>
          <w:b w:val="0"/>
          <w:bCs w:val="0"/>
          <w:color w:val="auto"/>
          <w:sz w:val="32"/>
          <w:szCs w:val="32"/>
        </w:rPr>
        <w:t>万元，其中，一般公共服务支出</w:t>
      </w:r>
      <w:r>
        <w:rPr>
          <w:rFonts w:hint="eastAsia" w:ascii="仿宋" w:hAnsi="仿宋" w:eastAsia="仿宋" w:cs="仿宋"/>
          <w:b w:val="0"/>
          <w:bCs w:val="0"/>
          <w:color w:val="auto"/>
          <w:sz w:val="32"/>
          <w:szCs w:val="32"/>
          <w:lang w:val="en-US" w:eastAsia="zh-CN"/>
        </w:rPr>
        <w:t>374.34</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94.85</w:t>
      </w:r>
      <w:r>
        <w:rPr>
          <w:rFonts w:hint="eastAsia" w:ascii="仿宋" w:hAnsi="仿宋" w:eastAsia="仿宋" w:cs="仿宋"/>
          <w:b w:val="0"/>
          <w:bCs w:val="0"/>
          <w:color w:val="auto"/>
          <w:sz w:val="32"/>
          <w:szCs w:val="32"/>
        </w:rPr>
        <w:t>%；</w:t>
      </w:r>
      <w:r>
        <w:rPr>
          <w:rFonts w:hint="eastAsia" w:eastAsia="仿宋_GB2312"/>
          <w:b w:val="0"/>
          <w:bCs w:val="0"/>
          <w:color w:val="auto"/>
          <w:sz w:val="32"/>
          <w:szCs w:val="32"/>
        </w:rPr>
        <w:t>住房保障</w:t>
      </w:r>
      <w:r>
        <w:rPr>
          <w:rFonts w:hint="eastAsia" w:eastAsia="仿宋_GB2312"/>
          <w:b w:val="0"/>
          <w:bCs w:val="0"/>
          <w:color w:val="auto"/>
          <w:sz w:val="32"/>
          <w:szCs w:val="32"/>
          <w:lang w:val="en-US" w:eastAsia="zh-CN"/>
        </w:rPr>
        <w:t>支出</w:t>
      </w:r>
      <w:r>
        <w:rPr>
          <w:rFonts w:hint="eastAsia" w:eastAsia="仿宋_GB2312"/>
          <w:b w:val="0"/>
          <w:bCs w:val="0"/>
          <w:color w:val="auto"/>
          <w:sz w:val="32"/>
          <w:szCs w:val="32"/>
        </w:rPr>
        <w:t>万</w:t>
      </w:r>
      <w:r>
        <w:rPr>
          <w:rFonts w:hint="eastAsia" w:eastAsia="仿宋_GB2312"/>
          <w:b w:val="0"/>
          <w:bCs w:val="0"/>
          <w:color w:val="auto"/>
          <w:sz w:val="32"/>
          <w:szCs w:val="32"/>
          <w:lang w:val="en-US" w:eastAsia="zh-CN"/>
        </w:rPr>
        <w:t>20.31</w:t>
      </w:r>
      <w:r>
        <w:rPr>
          <w:rFonts w:hint="eastAsia" w:eastAsia="仿宋_GB2312"/>
          <w:b w:val="0"/>
          <w:bCs w:val="0"/>
          <w:color w:val="auto"/>
          <w:sz w:val="32"/>
          <w:szCs w:val="32"/>
        </w:rPr>
        <w:t>元</w:t>
      </w:r>
      <w:r>
        <w:rPr>
          <w:rFonts w:hint="eastAsia" w:eastAsia="仿宋_GB2312"/>
          <w:b w:val="0"/>
          <w:bCs w:val="0"/>
          <w:color w:val="auto"/>
          <w:sz w:val="32"/>
          <w:szCs w:val="32"/>
          <w:lang w:eastAsia="zh-CN"/>
        </w:rPr>
        <w:t>，</w:t>
      </w:r>
      <w:r>
        <w:rPr>
          <w:rFonts w:eastAsia="仿宋_GB2312"/>
          <w:b w:val="0"/>
          <w:bCs w:val="0"/>
          <w:color w:val="auto"/>
          <w:sz w:val="32"/>
          <w:szCs w:val="32"/>
        </w:rPr>
        <w:t>占</w:t>
      </w:r>
      <w:r>
        <w:rPr>
          <w:rFonts w:hint="eastAsia" w:eastAsia="仿宋_GB2312"/>
          <w:b w:val="0"/>
          <w:bCs w:val="0"/>
          <w:color w:val="auto"/>
          <w:sz w:val="32"/>
          <w:szCs w:val="32"/>
          <w:lang w:val="en-US" w:eastAsia="zh-CN"/>
        </w:rPr>
        <w:t>5.15</w:t>
      </w:r>
      <w:r>
        <w:rPr>
          <w:rFonts w:hint="eastAsia" w:eastAsia="仿宋_GB2312"/>
          <w:b w:val="0"/>
          <w:bCs w:val="0"/>
          <w:color w:val="auto"/>
          <w:sz w:val="32"/>
          <w:szCs w:val="32"/>
          <w:u w:val="none"/>
        </w:rPr>
        <w:t>%</w:t>
      </w:r>
      <w:r>
        <w:rPr>
          <w:rFonts w:eastAsia="仿宋_GB2312"/>
          <w:b w:val="0"/>
          <w:bCs w:val="0"/>
          <w:color w:val="auto"/>
          <w:sz w:val="32"/>
          <w:szCs w:val="32"/>
        </w:rPr>
        <w:t>；</w:t>
      </w:r>
      <w:r>
        <w:rPr>
          <w:rFonts w:hint="eastAsia" w:ascii="仿宋" w:hAnsi="仿宋" w:eastAsia="仿宋" w:cs="仿宋"/>
          <w:b w:val="0"/>
          <w:bCs w:val="0"/>
          <w:color w:val="auto"/>
          <w:sz w:val="32"/>
          <w:szCs w:val="32"/>
        </w:rPr>
        <w:t>具体安排情况如下：</w:t>
      </w:r>
    </w:p>
    <w:p>
      <w:pPr>
        <w:keepNext w:val="0"/>
        <w:keepLines w:val="0"/>
        <w:pageBreakBefore w:val="0"/>
        <w:widowControl/>
        <w:numPr>
          <w:ilvl w:val="0"/>
          <w:numId w:val="3"/>
        </w:numPr>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sz w:val="32"/>
          <w:szCs w:val="32"/>
        </w:rPr>
      </w:pPr>
      <w:r>
        <w:rPr>
          <w:rFonts w:hint="eastAsia" w:ascii="仿宋" w:hAnsi="仿宋" w:eastAsia="仿宋" w:cs="仿宋"/>
          <w:b/>
          <w:sz w:val="32"/>
          <w:szCs w:val="32"/>
        </w:rPr>
        <w:t>基本支出：</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年本部门基本支出预算数</w:t>
      </w:r>
      <w:r>
        <w:rPr>
          <w:rFonts w:hint="eastAsia" w:ascii="仿宋" w:hAnsi="仿宋" w:eastAsia="仿宋" w:cs="仿宋"/>
          <w:sz w:val="32"/>
          <w:szCs w:val="32"/>
          <w:lang w:val="en-US" w:eastAsia="zh-CN"/>
        </w:rPr>
        <w:t>394.65</w:t>
      </w:r>
      <w:r>
        <w:rPr>
          <w:rFonts w:hint="eastAsia" w:ascii="仿宋" w:hAnsi="仿宋" w:eastAsia="仿宋" w:cs="仿宋"/>
          <w:sz w:val="32"/>
          <w:szCs w:val="32"/>
        </w:rPr>
        <w:t>万元，主要是为保障部门正常运转、完成日常工作任务而发生的各项支出，包括用于基本工资、津贴补贴等人员经费以及办公费、印刷费、水电费、办公设备购置等公用经费。</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sz w:val="32"/>
          <w:szCs w:val="32"/>
        </w:rPr>
        <w:t>（二）项目支出：</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年本部门项目支出预算</w:t>
      </w:r>
      <w:r>
        <w:rPr>
          <w:rFonts w:hint="eastAsia" w:ascii="仿宋" w:hAnsi="仿宋" w:eastAsia="仿宋" w:cs="仿宋"/>
          <w:sz w:val="32"/>
          <w:szCs w:val="32"/>
          <w:lang w:val="en-US" w:eastAsia="zh-CN"/>
        </w:rPr>
        <w:t>0</w:t>
      </w:r>
      <w:r>
        <w:rPr>
          <w:rFonts w:hint="eastAsia" w:ascii="仿宋" w:hAnsi="仿宋" w:eastAsia="仿宋" w:cs="仿宋"/>
          <w:sz w:val="32"/>
          <w:szCs w:val="32"/>
        </w:rPr>
        <w:t>万</w:t>
      </w:r>
      <w:r>
        <w:rPr>
          <w:rFonts w:hint="eastAsia" w:ascii="仿宋" w:hAnsi="仿宋" w:eastAsia="仿宋" w:cs="仿宋"/>
          <w:sz w:val="32"/>
          <w:szCs w:val="32"/>
          <w:lang w:val="en-US" w:eastAsia="zh-CN"/>
        </w:rPr>
        <w:t>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sz w:val="32"/>
          <w:szCs w:val="32"/>
        </w:rPr>
      </w:pPr>
      <w:r>
        <w:rPr>
          <w:rFonts w:eastAsia="黑体"/>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eastAsia="仿宋_GB2312"/>
          <w:b/>
          <w:sz w:val="32"/>
          <w:szCs w:val="32"/>
          <w:lang w:eastAsia="zh-CN"/>
        </w:rPr>
      </w:pPr>
      <w:r>
        <w:rPr>
          <w:rFonts w:hint="eastAsia" w:ascii="仿宋" w:hAnsi="仿宋" w:eastAsia="仿宋" w:cs="仿宋"/>
          <w:sz w:val="32"/>
          <w:szCs w:val="32"/>
        </w:rPr>
        <w:t>本部门无政府性基金安排的支出</w:t>
      </w:r>
      <w:r>
        <w:rPr>
          <w:rFonts w:hint="eastAsia" w:ascii="仿宋" w:hAnsi="仿宋"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eastAsia="黑体"/>
          <w:sz w:val="32"/>
          <w:szCs w:val="32"/>
        </w:rPr>
      </w:pPr>
      <w:r>
        <w:rPr>
          <w:rFonts w:eastAsia="黑体"/>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sz w:val="32"/>
          <w:szCs w:val="32"/>
          <w:highlight w:val="none"/>
        </w:rPr>
      </w:pPr>
      <w:r>
        <w:rPr>
          <w:rFonts w:hint="eastAsia" w:ascii="仿宋" w:hAnsi="仿宋" w:eastAsia="仿宋" w:cs="仿宋"/>
          <w:b/>
          <w:sz w:val="32"/>
          <w:szCs w:val="32"/>
          <w:highlight w:val="none"/>
          <w:u w:val="none"/>
        </w:rPr>
        <w:t>（一）机关运行经费：</w:t>
      </w:r>
      <w:r>
        <w:rPr>
          <w:rFonts w:hint="eastAsia" w:ascii="仿宋" w:hAnsi="仿宋" w:eastAsia="仿宋" w:cs="仿宋"/>
          <w:b/>
          <w:sz w:val="32"/>
          <w:szCs w:val="32"/>
          <w:highlight w:val="none"/>
          <w:u w:val="none"/>
          <w:lang w:val="en-US" w:eastAsia="zh-CN"/>
        </w:rPr>
        <w:t>2</w:t>
      </w:r>
      <w:r>
        <w:rPr>
          <w:rFonts w:hint="eastAsia" w:ascii="仿宋" w:hAnsi="仿宋" w:eastAsia="仿宋" w:cs="仿宋"/>
          <w:kern w:val="0"/>
          <w:sz w:val="32"/>
          <w:szCs w:val="32"/>
          <w:highlight w:val="none"/>
          <w:u w:val="none"/>
          <w:lang w:val="en-US" w:eastAsia="zh-CN" w:bidi="ar"/>
        </w:rPr>
        <w:t>021年本部门中心机关（行政单位）以及二级机构的机关运行经费当年一般公共预算拨款</w:t>
      </w:r>
      <w:r>
        <w:rPr>
          <w:rFonts w:hint="eastAsia" w:ascii="仿宋" w:hAnsi="仿宋" w:eastAsia="仿宋" w:cs="仿宋"/>
          <w:sz w:val="32"/>
          <w:szCs w:val="32"/>
          <w:highlight w:val="none"/>
          <w:u w:val="none"/>
        </w:rPr>
        <w:t xml:space="preserve"> </w:t>
      </w:r>
      <w:r>
        <w:rPr>
          <w:rFonts w:hint="eastAsia" w:ascii="仿宋" w:hAnsi="仿宋" w:eastAsia="仿宋" w:cs="仿宋"/>
          <w:b w:val="0"/>
          <w:bCs w:val="0"/>
          <w:color w:val="auto"/>
          <w:sz w:val="32"/>
          <w:szCs w:val="32"/>
          <w:highlight w:val="none"/>
          <w:u w:val="none"/>
          <w:lang w:val="en-US" w:eastAsia="zh-CN"/>
        </w:rPr>
        <w:t>394.65</w:t>
      </w:r>
      <w:r>
        <w:rPr>
          <w:rFonts w:hint="eastAsia" w:ascii="仿宋" w:hAnsi="仿宋" w:eastAsia="仿宋" w:cs="仿宋"/>
          <w:b w:val="0"/>
          <w:bCs w:val="0"/>
          <w:color w:val="auto"/>
          <w:sz w:val="32"/>
          <w:szCs w:val="32"/>
          <w:highlight w:val="none"/>
          <w:u w:val="none"/>
        </w:rPr>
        <w:t>万元，比上年预算增加</w:t>
      </w:r>
      <w:r>
        <w:rPr>
          <w:rFonts w:hint="eastAsia" w:ascii="仿宋" w:hAnsi="仿宋" w:eastAsia="仿宋" w:cs="仿宋"/>
          <w:b w:val="0"/>
          <w:bCs w:val="0"/>
          <w:color w:val="auto"/>
          <w:sz w:val="32"/>
          <w:szCs w:val="32"/>
          <w:highlight w:val="none"/>
          <w:u w:val="none"/>
          <w:lang w:val="en-US" w:eastAsia="zh-CN"/>
        </w:rPr>
        <w:t>29.15</w:t>
      </w:r>
      <w:r>
        <w:rPr>
          <w:rFonts w:hint="eastAsia" w:ascii="仿宋" w:hAnsi="仿宋" w:eastAsia="仿宋" w:cs="仿宋"/>
          <w:b w:val="0"/>
          <w:bCs w:val="0"/>
          <w:color w:val="auto"/>
          <w:sz w:val="32"/>
          <w:szCs w:val="32"/>
          <w:highlight w:val="none"/>
          <w:u w:val="none"/>
        </w:rPr>
        <w:t>万元，上升</w:t>
      </w:r>
      <w:r>
        <w:rPr>
          <w:rFonts w:hint="eastAsia" w:ascii="仿宋" w:hAnsi="仿宋" w:eastAsia="仿宋" w:cs="仿宋"/>
          <w:b w:val="0"/>
          <w:bCs w:val="0"/>
          <w:color w:val="auto"/>
          <w:sz w:val="32"/>
          <w:szCs w:val="32"/>
          <w:highlight w:val="none"/>
          <w:u w:val="none"/>
          <w:lang w:val="en-US" w:eastAsia="zh-CN"/>
        </w:rPr>
        <w:t>7.98</w:t>
      </w:r>
      <w:r>
        <w:rPr>
          <w:rFonts w:hint="eastAsia" w:ascii="仿宋" w:hAnsi="仿宋" w:eastAsia="仿宋" w:cs="仿宋"/>
          <w:b w:val="0"/>
          <w:bCs w:val="0"/>
          <w:color w:val="auto"/>
          <w:sz w:val="32"/>
          <w:szCs w:val="32"/>
          <w:highlight w:val="none"/>
          <w:u w:val="none"/>
        </w:rPr>
        <w:t>%，</w:t>
      </w:r>
      <w:r>
        <w:rPr>
          <w:rFonts w:hint="eastAsia" w:ascii="仿宋" w:hAnsi="仿宋" w:eastAsia="仿宋" w:cs="仿宋"/>
          <w:color w:val="auto"/>
          <w:sz w:val="32"/>
          <w:szCs w:val="32"/>
          <w:highlight w:val="none"/>
          <w:u w:val="none"/>
        </w:rPr>
        <w:t>主</w:t>
      </w:r>
      <w:r>
        <w:rPr>
          <w:rFonts w:hint="eastAsia" w:ascii="仿宋" w:hAnsi="仿宋" w:eastAsia="仿宋" w:cs="仿宋"/>
          <w:sz w:val="32"/>
          <w:szCs w:val="32"/>
          <w:highlight w:val="none"/>
          <w:u w:val="none"/>
        </w:rPr>
        <w:t>要是</w:t>
      </w:r>
      <w:r>
        <w:rPr>
          <w:rFonts w:hint="eastAsia" w:ascii="仿宋" w:hAnsi="仿宋" w:eastAsia="仿宋" w:cs="仿宋"/>
          <w:sz w:val="32"/>
          <w:szCs w:val="32"/>
          <w:highlight w:val="none"/>
          <w:u w:val="none"/>
          <w:lang w:eastAsia="zh-CN"/>
        </w:rPr>
        <w:t>工资及人员经费增加</w:t>
      </w:r>
      <w:r>
        <w:rPr>
          <w:rFonts w:hint="eastAsia" w:ascii="仿宋" w:hAnsi="仿宋" w:eastAsia="仿宋" w:cs="仿宋"/>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sz w:val="32"/>
          <w:szCs w:val="32"/>
          <w:highlight w:val="none"/>
        </w:rPr>
      </w:pPr>
      <w:r>
        <w:rPr>
          <w:rFonts w:hint="eastAsia" w:ascii="仿宋" w:hAnsi="仿宋" w:eastAsia="仿宋" w:cs="仿宋"/>
          <w:b/>
          <w:sz w:val="32"/>
          <w:szCs w:val="32"/>
        </w:rPr>
        <w:t>（二）“三公”经费预算：</w:t>
      </w:r>
      <w:r>
        <w:rPr>
          <w:rFonts w:hint="eastAsia" w:ascii="仿宋" w:hAnsi="仿宋" w:eastAsia="仿宋" w:cs="仿宋"/>
          <w:b/>
          <w:sz w:val="32"/>
          <w:szCs w:val="32"/>
          <w:lang w:val="en-US" w:eastAsia="zh-CN"/>
        </w:rPr>
        <w:t>2021</w:t>
      </w:r>
      <w:r>
        <w:rPr>
          <w:rFonts w:hint="eastAsia" w:ascii="仿宋" w:hAnsi="仿宋" w:eastAsia="仿宋" w:cs="仿宋"/>
          <w:sz w:val="32"/>
          <w:szCs w:val="32"/>
        </w:rPr>
        <w:t>年</w:t>
      </w:r>
      <w:r>
        <w:rPr>
          <w:rFonts w:hint="eastAsia" w:ascii="仿宋" w:hAnsi="仿宋" w:eastAsia="仿宋" w:cs="仿宋"/>
          <w:kern w:val="0"/>
          <w:sz w:val="32"/>
          <w:szCs w:val="32"/>
          <w:lang w:val="en-US" w:eastAsia="zh-CN" w:bidi="ar"/>
        </w:rPr>
        <w:t>本部门中心机关（行政单位）以及二级机构</w:t>
      </w:r>
      <w:r>
        <w:rPr>
          <w:rFonts w:hint="eastAsia" w:ascii="仿宋" w:hAnsi="仿宋" w:eastAsia="仿宋" w:cs="仿宋"/>
          <w:sz w:val="32"/>
          <w:szCs w:val="32"/>
        </w:rPr>
        <w:t>“三公”经费预算数为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万元，公务用车运行费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万元），因公出国（境）费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b/>
          <w:bCs/>
          <w:color w:val="auto"/>
          <w:sz w:val="32"/>
          <w:szCs w:val="32"/>
          <w:lang w:val="en-US" w:eastAsia="zh-CN"/>
        </w:rPr>
        <w:t>2021</w:t>
      </w:r>
      <w:r>
        <w:rPr>
          <w:rFonts w:hint="eastAsia" w:ascii="仿宋" w:hAnsi="仿宋" w:eastAsia="仿宋" w:cs="仿宋"/>
          <w:b/>
          <w:bCs/>
          <w:color w:val="auto"/>
          <w:sz w:val="32"/>
          <w:szCs w:val="32"/>
        </w:rPr>
        <w:t>年“三公”经费预算较2020年减少</w:t>
      </w:r>
      <w:r>
        <w:rPr>
          <w:rFonts w:hint="eastAsia" w:ascii="仿宋" w:hAnsi="仿宋" w:eastAsia="仿宋" w:cs="仿宋"/>
          <w:b/>
          <w:bCs/>
          <w:color w:val="auto"/>
          <w:sz w:val="32"/>
          <w:szCs w:val="32"/>
          <w:lang w:val="en-US" w:eastAsia="zh-CN"/>
        </w:rPr>
        <w:t>3.2</w:t>
      </w:r>
      <w:r>
        <w:rPr>
          <w:rFonts w:hint="eastAsia" w:ascii="仿宋" w:hAnsi="仿宋" w:eastAsia="仿宋" w:cs="仿宋"/>
          <w:b/>
          <w:bCs/>
          <w:color w:val="auto"/>
          <w:sz w:val="32"/>
          <w:szCs w:val="32"/>
        </w:rPr>
        <w:t>万元，</w:t>
      </w:r>
      <w:r>
        <w:rPr>
          <w:rFonts w:hint="eastAsia" w:ascii="仿宋" w:hAnsi="仿宋" w:eastAsia="仿宋" w:cs="仿宋"/>
          <w:sz w:val="32"/>
          <w:szCs w:val="32"/>
          <w:highlight w:val="none"/>
        </w:rPr>
        <w:t>主要是</w:t>
      </w:r>
      <w:r>
        <w:rPr>
          <w:rFonts w:hint="eastAsia" w:ascii="仿宋" w:hAnsi="仿宋" w:eastAsia="仿宋" w:cs="仿宋"/>
          <w:sz w:val="32"/>
          <w:szCs w:val="32"/>
          <w:highlight w:val="none"/>
          <w:lang w:eastAsia="zh-CN"/>
        </w:rPr>
        <w:t>公务车改革，无在用公务车</w:t>
      </w:r>
      <w:r>
        <w:rPr>
          <w:rFonts w:hint="eastAsia" w:ascii="仿宋" w:hAnsi="仿宋" w:eastAsia="仿宋" w:cs="仿宋"/>
          <w:sz w:val="32"/>
          <w:szCs w:val="32"/>
          <w:highlight w:val="none"/>
        </w:rPr>
        <w:t>。</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b/>
          <w:sz w:val="32"/>
          <w:szCs w:val="32"/>
          <w:highlight w:val="none"/>
          <w:u w:val="none"/>
        </w:rPr>
      </w:pPr>
      <w:r>
        <w:rPr>
          <w:rFonts w:hint="eastAsia" w:ascii="仿宋" w:hAnsi="仿宋" w:eastAsia="仿宋" w:cs="仿宋"/>
          <w:b/>
          <w:sz w:val="32"/>
          <w:szCs w:val="32"/>
          <w:highlight w:val="none"/>
          <w:u w:val="none"/>
        </w:rPr>
        <w:t>（三）一般性支出情况：</w:t>
      </w:r>
      <w:r>
        <w:rPr>
          <w:rFonts w:hint="eastAsia" w:ascii="仿宋" w:hAnsi="仿宋" w:eastAsia="仿宋" w:cs="仿宋"/>
          <w:b/>
          <w:sz w:val="32"/>
          <w:szCs w:val="32"/>
          <w:highlight w:val="none"/>
          <w:u w:val="none"/>
          <w:lang w:val="en-US" w:eastAsia="zh-CN"/>
        </w:rPr>
        <w:t>2021</w:t>
      </w:r>
      <w:r>
        <w:rPr>
          <w:rFonts w:hint="eastAsia" w:ascii="仿宋" w:hAnsi="仿宋" w:eastAsia="仿宋" w:cs="仿宋"/>
          <w:kern w:val="0"/>
          <w:sz w:val="32"/>
          <w:szCs w:val="32"/>
          <w:highlight w:val="none"/>
          <w:u w:val="none"/>
        </w:rPr>
        <w:t>年本部门会议费预算</w:t>
      </w:r>
      <w:r>
        <w:rPr>
          <w:rFonts w:hint="eastAsia" w:ascii="仿宋" w:hAnsi="仿宋" w:eastAsia="仿宋" w:cs="仿宋"/>
          <w:sz w:val="32"/>
          <w:szCs w:val="32"/>
          <w:highlight w:val="none"/>
          <w:u w:val="none"/>
          <w:lang w:val="en-US" w:eastAsia="zh-CN"/>
        </w:rPr>
        <w:t>0.5</w:t>
      </w:r>
      <w:r>
        <w:rPr>
          <w:rFonts w:hint="eastAsia" w:ascii="仿宋" w:hAnsi="仿宋" w:eastAsia="仿宋" w:cs="仿宋"/>
          <w:sz w:val="32"/>
          <w:szCs w:val="32"/>
          <w:highlight w:val="none"/>
          <w:u w:val="none"/>
        </w:rPr>
        <w:t xml:space="preserve">  </w:t>
      </w:r>
      <w:r>
        <w:rPr>
          <w:rFonts w:hint="eastAsia" w:ascii="仿宋" w:hAnsi="仿宋" w:eastAsia="仿宋" w:cs="仿宋"/>
          <w:kern w:val="0"/>
          <w:sz w:val="32"/>
          <w:szCs w:val="32"/>
          <w:highlight w:val="none"/>
          <w:u w:val="none"/>
        </w:rPr>
        <w:t>万元，拟召开</w:t>
      </w:r>
      <w:r>
        <w:rPr>
          <w:rFonts w:hint="eastAsia" w:ascii="仿宋" w:hAnsi="仿宋" w:eastAsia="仿宋" w:cs="仿宋"/>
          <w:sz w:val="32"/>
          <w:szCs w:val="32"/>
          <w:highlight w:val="none"/>
          <w:u w:val="none"/>
          <w:lang w:val="en-US" w:eastAsia="zh-CN"/>
        </w:rPr>
        <w:t>2</w:t>
      </w:r>
      <w:r>
        <w:rPr>
          <w:rFonts w:hint="eastAsia" w:ascii="仿宋" w:hAnsi="仿宋" w:eastAsia="仿宋" w:cs="仿宋"/>
          <w:kern w:val="0"/>
          <w:sz w:val="32"/>
          <w:szCs w:val="32"/>
          <w:highlight w:val="none"/>
          <w:u w:val="none"/>
        </w:rPr>
        <w:t>会议，人数</w:t>
      </w:r>
      <w:r>
        <w:rPr>
          <w:rFonts w:hint="eastAsia" w:ascii="仿宋" w:hAnsi="仿宋" w:eastAsia="仿宋" w:cs="仿宋"/>
          <w:sz w:val="32"/>
          <w:szCs w:val="32"/>
          <w:highlight w:val="none"/>
          <w:u w:val="none"/>
          <w:lang w:val="en-US" w:eastAsia="zh-CN"/>
        </w:rPr>
        <w:t>42</w:t>
      </w:r>
      <w:r>
        <w:rPr>
          <w:rFonts w:hint="eastAsia" w:ascii="仿宋" w:hAnsi="仿宋" w:eastAsia="仿宋" w:cs="仿宋"/>
          <w:kern w:val="0"/>
          <w:sz w:val="32"/>
          <w:szCs w:val="32"/>
          <w:highlight w:val="none"/>
          <w:u w:val="none"/>
        </w:rPr>
        <w:t>人，内容为</w:t>
      </w:r>
      <w:r>
        <w:rPr>
          <w:rFonts w:hint="eastAsia" w:ascii="仿宋" w:hAnsi="仿宋" w:eastAsia="仿宋" w:cs="仿宋"/>
          <w:kern w:val="0"/>
          <w:sz w:val="32"/>
          <w:szCs w:val="32"/>
          <w:highlight w:val="none"/>
          <w:u w:val="none"/>
          <w:lang w:eastAsia="zh-CN"/>
        </w:rPr>
        <w:t>拆迁政策讨论</w:t>
      </w:r>
      <w:r>
        <w:rPr>
          <w:rFonts w:hint="eastAsia" w:ascii="仿宋" w:hAnsi="仿宋" w:eastAsia="仿宋" w:cs="仿宋"/>
          <w:kern w:val="0"/>
          <w:sz w:val="32"/>
          <w:szCs w:val="32"/>
          <w:highlight w:val="none"/>
          <w:u w:val="none"/>
        </w:rPr>
        <w:t>；培训费预算</w:t>
      </w:r>
      <w:r>
        <w:rPr>
          <w:rFonts w:hint="eastAsia" w:ascii="仿宋" w:hAnsi="仿宋" w:eastAsia="仿宋" w:cs="仿宋"/>
          <w:sz w:val="32"/>
          <w:szCs w:val="32"/>
          <w:highlight w:val="none"/>
          <w:u w:val="none"/>
          <w:lang w:val="en-US" w:eastAsia="zh-CN"/>
        </w:rPr>
        <w:t>0.5</w:t>
      </w:r>
      <w:r>
        <w:rPr>
          <w:rFonts w:hint="eastAsia" w:ascii="仿宋" w:hAnsi="仿宋" w:eastAsia="仿宋" w:cs="仿宋"/>
          <w:kern w:val="0"/>
          <w:sz w:val="32"/>
          <w:szCs w:val="32"/>
          <w:highlight w:val="none"/>
          <w:u w:val="none"/>
        </w:rPr>
        <w:t>万元，拟开展</w:t>
      </w:r>
      <w:r>
        <w:rPr>
          <w:rFonts w:hint="eastAsia" w:ascii="仿宋" w:hAnsi="仿宋" w:eastAsia="仿宋" w:cs="仿宋"/>
          <w:sz w:val="32"/>
          <w:szCs w:val="32"/>
          <w:highlight w:val="none"/>
          <w:u w:val="none"/>
          <w:lang w:val="en-US" w:eastAsia="zh-CN"/>
        </w:rPr>
        <w:t>2</w:t>
      </w:r>
      <w:r>
        <w:rPr>
          <w:rFonts w:hint="eastAsia" w:ascii="仿宋" w:hAnsi="仿宋" w:eastAsia="仿宋" w:cs="仿宋"/>
          <w:kern w:val="0"/>
          <w:sz w:val="32"/>
          <w:szCs w:val="32"/>
          <w:highlight w:val="none"/>
          <w:u w:val="none"/>
        </w:rPr>
        <w:t>培训，人数</w:t>
      </w:r>
      <w:r>
        <w:rPr>
          <w:rFonts w:hint="eastAsia" w:ascii="仿宋" w:hAnsi="仿宋" w:eastAsia="仿宋" w:cs="仿宋"/>
          <w:sz w:val="32"/>
          <w:szCs w:val="32"/>
          <w:highlight w:val="none"/>
          <w:u w:val="none"/>
          <w:lang w:val="en-US" w:eastAsia="zh-CN"/>
        </w:rPr>
        <w:t>42</w:t>
      </w:r>
      <w:r>
        <w:rPr>
          <w:rFonts w:hint="eastAsia" w:ascii="仿宋" w:hAnsi="仿宋" w:eastAsia="仿宋" w:cs="仿宋"/>
          <w:kern w:val="0"/>
          <w:sz w:val="32"/>
          <w:szCs w:val="32"/>
          <w:highlight w:val="none"/>
          <w:u w:val="none"/>
        </w:rPr>
        <w:t>人，内容为</w:t>
      </w:r>
      <w:r>
        <w:rPr>
          <w:rFonts w:hint="eastAsia" w:ascii="仿宋" w:hAnsi="仿宋" w:eastAsia="仿宋" w:cs="仿宋"/>
          <w:sz w:val="32"/>
          <w:szCs w:val="32"/>
          <w:highlight w:val="none"/>
          <w:u w:val="none"/>
          <w:lang w:eastAsia="zh-CN"/>
        </w:rPr>
        <w:t>拆迁腾地政策学习</w:t>
      </w:r>
      <w:r>
        <w:rPr>
          <w:rFonts w:hint="eastAsia" w:ascii="仿宋" w:hAnsi="仿宋" w:eastAsia="仿宋" w:cs="仿宋"/>
          <w:kern w:val="0"/>
          <w:sz w:val="32"/>
          <w:szCs w:val="32"/>
          <w:highlight w:val="none"/>
          <w:u w:val="none"/>
        </w:rPr>
        <w:t>；</w:t>
      </w:r>
      <w:r>
        <w:rPr>
          <w:rFonts w:hint="eastAsia" w:ascii="仿宋" w:hAnsi="仿宋" w:eastAsia="仿宋" w:cs="仿宋"/>
          <w:kern w:val="0"/>
          <w:sz w:val="32"/>
          <w:szCs w:val="32"/>
          <w:highlight w:val="none"/>
          <w:u w:val="none"/>
          <w:lang w:val="en-US" w:eastAsia="zh-CN"/>
        </w:rPr>
        <w:t>未</w:t>
      </w:r>
      <w:r>
        <w:rPr>
          <w:rFonts w:hint="eastAsia" w:ascii="仿宋" w:hAnsi="仿宋" w:eastAsia="仿宋" w:cs="仿宋"/>
          <w:kern w:val="0"/>
          <w:sz w:val="32"/>
          <w:szCs w:val="32"/>
          <w:highlight w:val="none"/>
          <w:u w:val="none"/>
        </w:rPr>
        <w:t>举办节庆、晚会、论坛、赛事活动，经费预算</w:t>
      </w:r>
      <w:r>
        <w:rPr>
          <w:rFonts w:hint="eastAsia" w:ascii="仿宋" w:hAnsi="仿宋" w:eastAsia="仿宋" w:cs="仿宋"/>
          <w:kern w:val="0"/>
          <w:sz w:val="32"/>
          <w:szCs w:val="32"/>
          <w:highlight w:val="none"/>
          <w:u w:val="none"/>
          <w:lang w:val="en-US" w:eastAsia="zh-CN"/>
        </w:rPr>
        <w:t>0</w:t>
      </w:r>
      <w:r>
        <w:rPr>
          <w:rFonts w:hint="eastAsia" w:ascii="仿宋" w:hAnsi="仿宋" w:eastAsia="仿宋" w:cs="仿宋"/>
          <w:kern w:val="0"/>
          <w:sz w:val="32"/>
          <w:szCs w:val="32"/>
          <w:highlight w:val="none"/>
          <w:u w:val="none"/>
        </w:rPr>
        <w:t>万元。</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仿宋" w:hAnsi="仿宋" w:eastAsia="仿宋" w:cs="仿宋"/>
          <w:b/>
          <w:sz w:val="32"/>
          <w:szCs w:val="32"/>
          <w:lang w:eastAsia="zh-CN"/>
        </w:rPr>
        <w:t>（</w:t>
      </w:r>
      <w:r>
        <w:rPr>
          <w:rFonts w:hint="eastAsia" w:ascii="仿宋" w:hAnsi="仿宋" w:eastAsia="仿宋" w:cs="仿宋"/>
          <w:b/>
          <w:sz w:val="32"/>
          <w:szCs w:val="32"/>
          <w:lang w:val="en-US" w:eastAsia="zh-CN"/>
        </w:rPr>
        <w:t>四）</w:t>
      </w:r>
      <w:r>
        <w:rPr>
          <w:rFonts w:hint="eastAsia" w:ascii="仿宋" w:hAnsi="仿宋" w:eastAsia="仿宋" w:cs="仿宋"/>
          <w:b/>
          <w:sz w:val="32"/>
          <w:szCs w:val="32"/>
        </w:rPr>
        <w:t>政府采购情况：</w:t>
      </w:r>
      <w:r>
        <w:rPr>
          <w:rFonts w:hint="eastAsia" w:ascii="仿宋" w:hAnsi="仿宋" w:eastAsia="仿宋" w:cs="仿宋"/>
          <w:b/>
          <w:sz w:val="32"/>
          <w:szCs w:val="32"/>
          <w:lang w:val="en-US" w:eastAsia="zh-CN"/>
        </w:rPr>
        <w:t>2021</w:t>
      </w:r>
      <w:r>
        <w:rPr>
          <w:rFonts w:hint="eastAsia" w:ascii="仿宋" w:hAnsi="仿宋" w:eastAsia="仿宋" w:cs="仿宋"/>
          <w:sz w:val="32"/>
          <w:szCs w:val="32"/>
        </w:rPr>
        <w:t>年本部门政府采购预算总额</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11.5</w:t>
      </w:r>
      <w:r>
        <w:rPr>
          <w:rFonts w:hint="eastAsia" w:ascii="仿宋" w:hAnsi="仿宋" w:eastAsia="仿宋" w:cs="仿宋"/>
          <w:sz w:val="32"/>
          <w:szCs w:val="32"/>
        </w:rPr>
        <w:t>万元，其中，货物类采购预算</w:t>
      </w:r>
      <w:r>
        <w:rPr>
          <w:rFonts w:hint="eastAsia" w:ascii="仿宋" w:hAnsi="仿宋" w:eastAsia="仿宋" w:cs="仿宋"/>
          <w:sz w:val="32"/>
          <w:szCs w:val="32"/>
          <w:lang w:val="en-US" w:eastAsia="zh-CN"/>
        </w:rPr>
        <w:t>11.5</w:t>
      </w:r>
      <w:r>
        <w:rPr>
          <w:rFonts w:hint="eastAsia" w:ascii="仿宋" w:hAnsi="仿宋" w:eastAsia="仿宋" w:cs="仿宋"/>
          <w:sz w:val="32"/>
          <w:szCs w:val="32"/>
        </w:rPr>
        <w:t>万元；工程类采购预算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万元；服务类采购预算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Cs/>
          <w:kern w:val="0"/>
          <w:sz w:val="32"/>
          <w:szCs w:val="32"/>
          <w:highlight w:val="none"/>
          <w:u w:val="none"/>
        </w:rPr>
      </w:pPr>
      <w:r>
        <w:rPr>
          <w:rFonts w:hint="eastAsia" w:ascii="仿宋" w:hAnsi="仿宋" w:eastAsia="仿宋" w:cs="仿宋"/>
          <w:b/>
          <w:sz w:val="32"/>
          <w:szCs w:val="32"/>
        </w:rPr>
        <w:t>（五）国有资产占用使用及新增资产配置情况：</w:t>
      </w:r>
      <w:r>
        <w:rPr>
          <w:rFonts w:hint="eastAsia" w:ascii="仿宋" w:hAnsi="仿宋" w:eastAsia="仿宋" w:cs="仿宋"/>
          <w:sz w:val="32"/>
          <w:szCs w:val="32"/>
        </w:rPr>
        <w:t>截至2020年12月底，本部门</w:t>
      </w:r>
      <w:r>
        <w:rPr>
          <w:rFonts w:hint="eastAsia" w:ascii="仿宋" w:hAnsi="仿宋" w:eastAsia="仿宋" w:cs="仿宋"/>
          <w:bCs/>
          <w:kern w:val="0"/>
          <w:sz w:val="32"/>
          <w:szCs w:val="32"/>
        </w:rPr>
        <w:t>共有公务用车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辆，其中，机要通信用车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辆，应急保障用车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辆，执法执勤用车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辆，特种专业技术用车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辆，其他按照规定配备的公务用车</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辆；</w:t>
      </w:r>
      <w:r>
        <w:rPr>
          <w:rFonts w:hint="eastAsia" w:ascii="仿宋" w:hAnsi="仿宋" w:eastAsia="仿宋" w:cs="仿宋"/>
          <w:bCs/>
          <w:kern w:val="0"/>
          <w:sz w:val="32"/>
          <w:szCs w:val="32"/>
          <w:highlight w:val="none"/>
          <w:u w:val="none"/>
        </w:rPr>
        <w:t>单位价值50万元以上通用设备</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台，单位价值100万元以上专用设备</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台。</w:t>
      </w:r>
      <w:r>
        <w:rPr>
          <w:rFonts w:hint="eastAsia" w:ascii="仿宋" w:hAnsi="仿宋" w:eastAsia="仿宋" w:cs="仿宋"/>
          <w:bCs/>
          <w:kern w:val="0"/>
          <w:sz w:val="32"/>
          <w:szCs w:val="32"/>
          <w:highlight w:val="none"/>
          <w:u w:val="none"/>
          <w:lang w:val="en-US" w:eastAsia="zh-CN"/>
        </w:rPr>
        <w:t>2021</w:t>
      </w:r>
      <w:r>
        <w:rPr>
          <w:rFonts w:hint="eastAsia" w:ascii="仿宋" w:hAnsi="仿宋" w:eastAsia="仿宋" w:cs="仿宋"/>
          <w:bCs/>
          <w:kern w:val="0"/>
          <w:sz w:val="32"/>
          <w:szCs w:val="32"/>
          <w:highlight w:val="none"/>
          <w:u w:val="none"/>
        </w:rPr>
        <w:t>年拟新增配置公务用车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辆，其中，机要通信用车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辆，应急保障用车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辆，执法执勤用车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辆，特种专业技术用车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辆，其他按照规定配备的公务用车</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辆；新增配备单位价值50万元以上通用设备</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台，单位价值100万元以上专用设备</w:t>
      </w:r>
      <w:r>
        <w:rPr>
          <w:rFonts w:hint="eastAsia" w:ascii="仿宋" w:hAnsi="仿宋" w:eastAsia="仿宋" w:cs="仿宋"/>
          <w:bCs/>
          <w:kern w:val="0"/>
          <w:sz w:val="32"/>
          <w:szCs w:val="32"/>
          <w:highlight w:val="none"/>
          <w:u w:val="none"/>
          <w:lang w:val="en-US" w:eastAsia="zh-CN"/>
        </w:rPr>
        <w:t>0</w:t>
      </w:r>
      <w:r>
        <w:rPr>
          <w:rFonts w:hint="eastAsia" w:ascii="仿宋" w:hAnsi="仿宋" w:eastAsia="仿宋" w:cs="仿宋"/>
          <w:bCs/>
          <w:kern w:val="0"/>
          <w:sz w:val="32"/>
          <w:szCs w:val="32"/>
          <w:highlight w:val="none"/>
          <w:u w:val="none"/>
        </w:rPr>
        <w:t>台。</w:t>
      </w:r>
    </w:p>
    <w:p>
      <w:pPr>
        <w:keepNext w:val="0"/>
        <w:keepLines w:val="0"/>
        <w:pageBreakBefore w:val="0"/>
        <w:widowControl/>
        <w:kinsoku/>
        <w:wordWrap/>
        <w:overflowPunct/>
        <w:topLinePunct w:val="0"/>
        <w:autoSpaceDE/>
        <w:autoSpaceDN/>
        <w:bidi w:val="0"/>
        <w:adjustRightInd/>
        <w:snapToGrid/>
        <w:spacing w:line="600" w:lineRule="exact"/>
        <w:ind w:firstLine="660"/>
        <w:jc w:val="left"/>
        <w:textAlignment w:val="auto"/>
        <w:rPr>
          <w:rFonts w:hint="eastAsia" w:ascii="仿宋" w:hAnsi="仿宋" w:eastAsia="仿宋" w:cs="仿宋"/>
          <w:bCs/>
          <w:kern w:val="0"/>
          <w:sz w:val="32"/>
          <w:szCs w:val="32"/>
        </w:rPr>
      </w:pPr>
      <w:r>
        <w:rPr>
          <w:rFonts w:hint="eastAsia" w:ascii="仿宋" w:hAnsi="仿宋" w:eastAsia="仿宋" w:cs="仿宋"/>
          <w:b/>
          <w:bCs/>
          <w:kern w:val="0"/>
          <w:sz w:val="32"/>
          <w:szCs w:val="32"/>
        </w:rPr>
        <w:t>（六）预算绩效目标说明：</w:t>
      </w:r>
      <w:r>
        <w:rPr>
          <w:rFonts w:hint="eastAsia" w:ascii="仿宋" w:hAnsi="仿宋" w:eastAsia="仿宋" w:cs="仿宋"/>
          <w:bCs/>
          <w:kern w:val="0"/>
          <w:sz w:val="32"/>
          <w:szCs w:val="32"/>
        </w:rPr>
        <w:t>本部门所有支出实行绩效目标管理。纳入</w:t>
      </w:r>
      <w:r>
        <w:rPr>
          <w:rFonts w:hint="eastAsia" w:ascii="仿宋" w:hAnsi="仿宋" w:eastAsia="仿宋" w:cs="仿宋"/>
          <w:bCs/>
          <w:kern w:val="0"/>
          <w:sz w:val="32"/>
          <w:szCs w:val="32"/>
          <w:lang w:val="en-US" w:eastAsia="zh-CN"/>
        </w:rPr>
        <w:t>2021</w:t>
      </w:r>
      <w:r>
        <w:rPr>
          <w:rFonts w:hint="eastAsia" w:ascii="仿宋" w:hAnsi="仿宋" w:eastAsia="仿宋" w:cs="仿宋"/>
          <w:bCs/>
          <w:kern w:val="0"/>
          <w:sz w:val="32"/>
          <w:szCs w:val="32"/>
        </w:rPr>
        <w:t>年部门整体支出绩效目标的金额为</w:t>
      </w:r>
      <w:r>
        <w:rPr>
          <w:rFonts w:hint="eastAsia" w:ascii="仿宋" w:hAnsi="仿宋" w:eastAsia="仿宋" w:cs="仿宋"/>
          <w:bCs/>
          <w:kern w:val="0"/>
          <w:sz w:val="32"/>
          <w:szCs w:val="32"/>
          <w:lang w:val="en-US" w:eastAsia="zh-CN"/>
        </w:rPr>
        <w:t>394.65</w:t>
      </w:r>
      <w:r>
        <w:rPr>
          <w:rFonts w:hint="eastAsia" w:ascii="仿宋" w:hAnsi="仿宋" w:eastAsia="仿宋" w:cs="仿宋"/>
          <w:bCs/>
          <w:kern w:val="0"/>
          <w:sz w:val="32"/>
          <w:szCs w:val="32"/>
        </w:rPr>
        <w:t>万元，其中，基本支出</w:t>
      </w:r>
      <w:r>
        <w:rPr>
          <w:rFonts w:hint="eastAsia" w:ascii="仿宋" w:hAnsi="仿宋" w:eastAsia="仿宋" w:cs="仿宋"/>
          <w:bCs/>
          <w:kern w:val="0"/>
          <w:sz w:val="32"/>
          <w:szCs w:val="32"/>
          <w:lang w:val="en-US" w:eastAsia="zh-CN"/>
        </w:rPr>
        <w:t>394.65</w:t>
      </w:r>
      <w:r>
        <w:rPr>
          <w:rFonts w:hint="eastAsia" w:ascii="仿宋" w:hAnsi="仿宋" w:eastAsia="仿宋" w:cs="仿宋"/>
          <w:bCs/>
          <w:kern w:val="0"/>
          <w:sz w:val="32"/>
          <w:szCs w:val="32"/>
        </w:rPr>
        <w:t>万元，项目支出</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万元，具体绩效目标详见报表。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eastAsia="黑体"/>
          <w:sz w:val="32"/>
          <w:szCs w:val="32"/>
        </w:rPr>
      </w:pPr>
      <w:r>
        <w:rPr>
          <w:rFonts w:eastAsia="黑体"/>
          <w:sz w:val="32"/>
          <w:szCs w:val="32"/>
        </w:rPr>
        <w:t>七、名词解释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1</w:t>
      </w:r>
      <w:r>
        <w:rPr>
          <w:rFonts w:hint="eastAsia" w:ascii="仿宋" w:hAnsi="仿宋" w:eastAsia="仿宋" w:cs="仿宋"/>
          <w:i w:val="0"/>
          <w:iCs w:val="0"/>
          <w:caps w:val="0"/>
          <w:color w:val="auto"/>
          <w:spacing w:val="0"/>
          <w:sz w:val="32"/>
          <w:szCs w:val="32"/>
        </w:rPr>
        <w:t>、一般公共预算拨款收入：指开福区财政当年拨付的资金。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rPr>
        <w:t>、基本支出：指为保障机构正常运转、完成日常工作任务而发生的人员支出和公用支出。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 w:beforeAutospacing="0" w:after="24" w:afterAutospacing="0" w:line="600" w:lineRule="exact"/>
        <w:ind w:right="0"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lang w:val="en-US" w:eastAsia="zh-CN"/>
        </w:rPr>
        <w:t>3</w:t>
      </w:r>
      <w:r>
        <w:rPr>
          <w:rFonts w:hint="eastAsia" w:ascii="仿宋" w:hAnsi="仿宋" w:eastAsia="仿宋" w:cs="仿宋"/>
          <w:i w:val="0"/>
          <w:iCs w:val="0"/>
          <w:caps w:val="0"/>
          <w:color w:val="auto"/>
          <w:spacing w:val="0"/>
          <w:sz w:val="32"/>
          <w:szCs w:val="32"/>
        </w:rPr>
        <w:t>、项目支出：指在基本支出之外为完成特定行政任务和事业发展目标所发生的支出。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600" w:lineRule="exact"/>
        <w:ind w:firstLine="6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auto"/>
          <w:kern w:val="0"/>
          <w:sz w:val="44"/>
          <w:szCs w:val="44"/>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hint="eastAsia" w:ascii="仿宋" w:hAnsi="仿宋" w:eastAsia="仿宋" w:cs="仿宋"/>
          <w:b/>
          <w:bCs w:val="0"/>
          <w:kern w:val="0"/>
          <w:sz w:val="36"/>
          <w:szCs w:val="36"/>
        </w:rPr>
      </w:pPr>
      <w:r>
        <w:rPr>
          <w:rFonts w:hint="eastAsia" w:ascii="黑体" w:hAnsi="黑体" w:eastAsia="黑体" w:cs="黑体"/>
          <w:b/>
          <w:bCs w:val="0"/>
          <w:kern w:val="0"/>
          <w:sz w:val="44"/>
          <w:szCs w:val="44"/>
        </w:rPr>
        <w:t>第二部分 2021年部门预算表</w:t>
      </w:r>
    </w:p>
    <w:p>
      <w:pPr>
        <w:widowControl/>
        <w:spacing w:line="600" w:lineRule="exact"/>
        <w:rPr>
          <w:rFonts w:eastAsia="仿宋_GB2312"/>
          <w:sz w:val="32"/>
          <w:szCs w:val="32"/>
        </w:rPr>
      </w:pPr>
    </w:p>
    <w:p>
      <w:pPr>
        <w:widowControl w:val="0"/>
        <w:numPr>
          <w:ilvl w:val="0"/>
          <w:numId w:val="0"/>
        </w:numPr>
        <w:jc w:val="both"/>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7A44F"/>
    <w:multiLevelType w:val="singleLevel"/>
    <w:tmpl w:val="AD57A44F"/>
    <w:lvl w:ilvl="0" w:tentative="0">
      <w:start w:val="2"/>
      <w:numFmt w:val="chineseCounting"/>
      <w:suff w:val="nothing"/>
      <w:lvlText w:val="（%1）"/>
      <w:lvlJc w:val="left"/>
      <w:rPr>
        <w:rFonts w:hint="eastAsia"/>
      </w:rPr>
    </w:lvl>
  </w:abstractNum>
  <w:abstractNum w:abstractNumId="1">
    <w:nsid w:val="19A0957C"/>
    <w:multiLevelType w:val="singleLevel"/>
    <w:tmpl w:val="19A0957C"/>
    <w:lvl w:ilvl="0" w:tentative="0">
      <w:start w:val="1"/>
      <w:numFmt w:val="chineseCounting"/>
      <w:suff w:val="space"/>
      <w:lvlText w:val="第%1部分"/>
      <w:lvlJc w:val="left"/>
      <w:rPr>
        <w:rFonts w:hint="eastAsia"/>
      </w:rPr>
    </w:lvl>
  </w:abstractNum>
  <w:abstractNum w:abstractNumId="2">
    <w:nsid w:val="4F45062B"/>
    <w:multiLevelType w:val="singleLevel"/>
    <w:tmpl w:val="4F45062B"/>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wNmQxMGU5MzU1MmUxOGQxNjY5ZWM2ZGJmNDFmOTkifQ=="/>
  </w:docVars>
  <w:rsids>
    <w:rsidRoot w:val="00000000"/>
    <w:rsid w:val="01EF10AD"/>
    <w:rsid w:val="02795851"/>
    <w:rsid w:val="03CF06E6"/>
    <w:rsid w:val="05A1574E"/>
    <w:rsid w:val="062537A9"/>
    <w:rsid w:val="0F644C06"/>
    <w:rsid w:val="135B3E01"/>
    <w:rsid w:val="13EE1DFE"/>
    <w:rsid w:val="18A95651"/>
    <w:rsid w:val="1C344DE6"/>
    <w:rsid w:val="1E635F68"/>
    <w:rsid w:val="25175CB4"/>
    <w:rsid w:val="26D95AFF"/>
    <w:rsid w:val="30F22065"/>
    <w:rsid w:val="331C62F0"/>
    <w:rsid w:val="332635D7"/>
    <w:rsid w:val="3504369D"/>
    <w:rsid w:val="363A6EAC"/>
    <w:rsid w:val="368660B0"/>
    <w:rsid w:val="38E2700F"/>
    <w:rsid w:val="39E44296"/>
    <w:rsid w:val="3DBB5A85"/>
    <w:rsid w:val="3F380261"/>
    <w:rsid w:val="404650A7"/>
    <w:rsid w:val="40FE0DAB"/>
    <w:rsid w:val="45513391"/>
    <w:rsid w:val="47AD7E68"/>
    <w:rsid w:val="4889029E"/>
    <w:rsid w:val="4B2536F4"/>
    <w:rsid w:val="52A0688F"/>
    <w:rsid w:val="548E2346"/>
    <w:rsid w:val="55785F47"/>
    <w:rsid w:val="5965215A"/>
    <w:rsid w:val="5B361410"/>
    <w:rsid w:val="5BA02BEE"/>
    <w:rsid w:val="5F7A67CE"/>
    <w:rsid w:val="615D434F"/>
    <w:rsid w:val="632E68C0"/>
    <w:rsid w:val="66022DCF"/>
    <w:rsid w:val="678C53E3"/>
    <w:rsid w:val="685E373D"/>
    <w:rsid w:val="69EB5EE3"/>
    <w:rsid w:val="6BDB52B5"/>
    <w:rsid w:val="73E81164"/>
    <w:rsid w:val="74331D1E"/>
    <w:rsid w:val="74646500"/>
    <w:rsid w:val="747B6213"/>
    <w:rsid w:val="75B75977"/>
    <w:rsid w:val="7BB91CC7"/>
    <w:rsid w:val="7EEA6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paragraph" w:styleId="9">
    <w:name w:val="List Paragraph"/>
    <w:basedOn w:val="1"/>
    <w:qFormat/>
    <w:uiPriority w:val="34"/>
    <w:pPr>
      <w:ind w:firstLine="420" w:firstLineChars="200"/>
    </w:pPr>
    <w:rPr>
      <w:rFonts w:ascii="Calibri" w:hAnsi="Calibri" w:eastAsia="宋体" w:cs="Times New Roman"/>
      <w:szCs w:val="22"/>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1">
    <w:name w:val="p0"/>
    <w:basedOn w:val="1"/>
    <w:qFormat/>
    <w:uiPriority w:val="0"/>
    <w:pPr>
      <w:widowControl/>
    </w:pPr>
    <w:rPr>
      <w:rFonts w:ascii="Times New Roman" w:hAnsi="Times New Roman" w:eastAsia="宋体" w:cs="Times New Roman"/>
      <w:kern w:val="0"/>
      <w:szCs w:val="21"/>
    </w:rPr>
  </w:style>
  <w:style w:type="character" w:customStyle="1" w:styleId="12">
    <w:name w:val="row_tree_level_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2202</Words>
  <Characters>2375</Characters>
  <Lines>0</Lines>
  <Paragraphs>0</Paragraphs>
  <TotalTime>18</TotalTime>
  <ScaleCrop>false</ScaleCrop>
  <LinksUpToDate>false</LinksUpToDate>
  <CharactersWithSpaces>2383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2021-11-30T14:53:00Z</dcterms:created>
  <dc:creator>朱嘉</dc:creator>
  <cp:lastModifiedBy>Surprisetome丶</cp:lastModifiedBy>
  <dcterms:modified xsi:type="dcterms:W3CDTF">2022-08-19T03:20:06Z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42D6FF41B2B74C77818BFD0E97B0D389</vt:lpwstr>
  </property>
</Properties>
</file>