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iCs w:val="0"/>
          <w:caps w:val="0"/>
          <w:color w:val="000000"/>
          <w:spacing w:val="0"/>
          <w:sz w:val="27"/>
          <w:szCs w:val="27"/>
        </w:rPr>
      </w:pPr>
      <w:r>
        <w:rPr>
          <w:rFonts w:hint="default" w:ascii="Times New Roman" w:hAnsi="Times New Roman" w:eastAsia="黑体" w:cs="Times New Roman"/>
          <w:sz w:val="44"/>
          <w:szCs w:val="44"/>
        </w:rPr>
        <w:t>202</w:t>
      </w:r>
      <w:r>
        <w:rPr>
          <w:rFonts w:hint="default" w:ascii="Times New Roman" w:hAnsi="Times New Roman" w:eastAsia="黑体" w:cs="Times New Roman"/>
          <w:sz w:val="44"/>
          <w:szCs w:val="44"/>
          <w:lang w:val="en-US" w:eastAsia="zh-CN"/>
        </w:rPr>
        <w:t>1</w:t>
      </w:r>
      <w:r>
        <w:rPr>
          <w:rFonts w:hint="eastAsia" w:ascii="黑体" w:hAnsi="Times New Roman" w:eastAsia="黑体" w:cs="Times New Roman"/>
          <w:sz w:val="44"/>
          <w:szCs w:val="44"/>
        </w:rPr>
        <w:t>年度</w:t>
      </w:r>
      <w:r>
        <w:rPr>
          <w:rFonts w:hint="eastAsia" w:ascii="黑体" w:hAnsi="Times New Roman" w:eastAsia="黑体" w:cs="Times New Roman"/>
          <w:sz w:val="44"/>
          <w:szCs w:val="44"/>
        </w:rPr>
        <w:t>重点项目绩效评价结果</w:t>
      </w:r>
    </w:p>
    <w:p>
      <w:pPr>
        <w:spacing w:line="560" w:lineRule="exact"/>
        <w:ind w:firstLine="640" w:firstLineChars="200"/>
        <w:rPr>
          <w:rFonts w:eastAsia="黑体"/>
          <w:sz w:val="32"/>
          <w:szCs w:val="32"/>
        </w:rPr>
      </w:pPr>
    </w:p>
    <w:p>
      <w:pPr>
        <w:spacing w:line="560" w:lineRule="exact"/>
        <w:ind w:firstLine="640" w:firstLineChars="200"/>
        <w:rPr>
          <w:rFonts w:eastAsia="黑体"/>
          <w:sz w:val="32"/>
          <w:szCs w:val="32"/>
        </w:rPr>
      </w:pPr>
      <w:r>
        <w:rPr>
          <w:rFonts w:eastAsia="黑体"/>
          <w:sz w:val="32"/>
          <w:szCs w:val="32"/>
        </w:rPr>
        <w:t>一、</w:t>
      </w:r>
      <w:r>
        <w:rPr>
          <w:rFonts w:hint="eastAsia" w:eastAsia="黑体"/>
          <w:sz w:val="32"/>
          <w:szCs w:val="32"/>
          <w:lang w:val="en-US" w:eastAsia="zh-CN"/>
        </w:rPr>
        <w:t>重点</w:t>
      </w:r>
      <w:r>
        <w:rPr>
          <w:rFonts w:hint="eastAsia" w:eastAsia="黑体"/>
          <w:sz w:val="32"/>
          <w:szCs w:val="32"/>
        </w:rPr>
        <w:t>项目支出</w:t>
      </w:r>
      <w:r>
        <w:rPr>
          <w:rFonts w:eastAsia="黑体"/>
          <w:sz w:val="32"/>
          <w:szCs w:val="32"/>
        </w:rPr>
        <w:t>基本情况</w:t>
      </w:r>
    </w:p>
    <w:p>
      <w:pPr>
        <w:spacing w:line="560" w:lineRule="exact"/>
        <w:ind w:firstLine="640" w:firstLineChars="200"/>
        <w:rPr>
          <w:rFonts w:ascii="仿宋" w:hAnsi="仿宋" w:eastAsia="仿宋" w:cs="宋体"/>
          <w:color w:val="000000"/>
          <w:kern w:val="0"/>
          <w:sz w:val="32"/>
          <w:szCs w:val="32"/>
        </w:rPr>
      </w:pPr>
      <w:r>
        <w:rPr>
          <w:rFonts w:eastAsia="楷体_GB2312"/>
          <w:bCs/>
          <w:sz w:val="32"/>
          <w:szCs w:val="32"/>
        </w:rPr>
        <w:t>（</w:t>
      </w:r>
      <w:r>
        <w:rPr>
          <w:rFonts w:ascii="仿宋" w:hAnsi="仿宋" w:eastAsia="仿宋" w:cs="宋体"/>
          <w:color w:val="000000"/>
          <w:kern w:val="0"/>
          <w:sz w:val="32"/>
          <w:szCs w:val="32"/>
        </w:rPr>
        <w:t>一）</w:t>
      </w:r>
      <w:r>
        <w:rPr>
          <w:rFonts w:hint="eastAsia" w:ascii="仿宋" w:hAnsi="仿宋" w:eastAsia="仿宋" w:cs="宋体"/>
          <w:color w:val="000000"/>
          <w:kern w:val="0"/>
          <w:sz w:val="32"/>
          <w:szCs w:val="32"/>
        </w:rPr>
        <w:t>项目支出</w:t>
      </w:r>
      <w:r>
        <w:rPr>
          <w:rFonts w:ascii="仿宋" w:hAnsi="仿宋" w:eastAsia="仿宋" w:cs="宋体"/>
          <w:color w:val="000000"/>
          <w:kern w:val="0"/>
          <w:sz w:val="32"/>
          <w:szCs w:val="32"/>
        </w:rPr>
        <w:t>资金概况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sz w:val="32"/>
          <w:szCs w:val="32"/>
        </w:rPr>
      </w:pPr>
      <w:r>
        <w:rPr>
          <w:rFonts w:hint="default" w:ascii="Times New Roman" w:hAnsi="Times New Roman" w:cs="Times New Roman"/>
          <w:sz w:val="32"/>
          <w:szCs w:val="32"/>
          <w:lang w:val="en-US" w:eastAsia="zh-CN"/>
        </w:rPr>
        <w:t>2021</w:t>
      </w:r>
      <w:r>
        <w:rPr>
          <w:rFonts w:hint="eastAsia" w:ascii="仿宋_GB2312" w:hAnsi="仿宋" w:cs="仿宋"/>
          <w:sz w:val="32"/>
          <w:szCs w:val="32"/>
          <w:lang w:val="en-US" w:eastAsia="zh-CN"/>
        </w:rPr>
        <w:t>年</w:t>
      </w:r>
      <w:r>
        <w:rPr>
          <w:rFonts w:hint="eastAsia" w:ascii="宋体" w:hAnsi="宋体" w:eastAsia="宋体" w:cs="宋体"/>
          <w:sz w:val="32"/>
          <w:szCs w:val="32"/>
          <w:lang w:val="en-US" w:eastAsia="zh-CN"/>
        </w:rPr>
        <w:t>我单位</w:t>
      </w:r>
      <w:r>
        <w:rPr>
          <w:rFonts w:hint="eastAsia" w:ascii="宋体" w:hAnsi="宋体" w:eastAsia="宋体" w:cs="宋体"/>
          <w:sz w:val="32"/>
          <w:szCs w:val="32"/>
        </w:rPr>
        <w:t>（局、部、中心）重点项目支出预算共</w:t>
      </w:r>
      <w:r>
        <w:rPr>
          <w:rFonts w:hint="default" w:ascii="Times New Roman" w:hAnsi="Times New Roman" w:eastAsia="宋体" w:cs="Times New Roman"/>
          <w:sz w:val="32"/>
          <w:szCs w:val="32"/>
        </w:rPr>
        <w:t>30万元，实际支出30万元，涵盖项目1</w:t>
      </w:r>
      <w:r>
        <w:rPr>
          <w:rFonts w:hint="eastAsia" w:ascii="宋体" w:hAnsi="宋体" w:eastAsia="宋体" w:cs="宋体"/>
          <w:sz w:val="32"/>
          <w:szCs w:val="32"/>
        </w:rPr>
        <w:t>个。具体情况如下：</w:t>
      </w:r>
      <w:r>
        <w:rPr>
          <w:rFonts w:hint="eastAsia"/>
          <w:sz w:val="24"/>
          <w:szCs w:val="24"/>
        </w:rPr>
        <w:t>金额单位：万元</w:t>
      </w:r>
    </w:p>
    <w:tbl>
      <w:tblPr>
        <w:tblStyle w:val="5"/>
        <w:tblW w:w="8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7"/>
        <w:gridCol w:w="1033"/>
        <w:gridCol w:w="2845"/>
        <w:gridCol w:w="830"/>
        <w:gridCol w:w="884"/>
        <w:gridCol w:w="738"/>
        <w:gridCol w:w="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1247" w:type="dxa"/>
            <w:vMerge w:val="restart"/>
            <w:noWrap w:val="0"/>
            <w:vAlign w:val="center"/>
          </w:tcPr>
          <w:p>
            <w:pPr>
              <w:jc w:val="center"/>
              <w:rPr>
                <w:rFonts w:hint="eastAsia"/>
                <w:sz w:val="21"/>
                <w:szCs w:val="21"/>
              </w:rPr>
            </w:pPr>
            <w:r>
              <w:rPr>
                <w:rFonts w:hint="eastAsia"/>
                <w:sz w:val="21"/>
                <w:szCs w:val="21"/>
              </w:rPr>
              <w:t>项目名称</w:t>
            </w:r>
          </w:p>
        </w:tc>
        <w:tc>
          <w:tcPr>
            <w:tcW w:w="1033" w:type="dxa"/>
            <w:vMerge w:val="restart"/>
            <w:noWrap w:val="0"/>
            <w:vAlign w:val="center"/>
          </w:tcPr>
          <w:p>
            <w:pPr>
              <w:jc w:val="center"/>
              <w:rPr>
                <w:rFonts w:hint="eastAsia"/>
                <w:sz w:val="21"/>
                <w:szCs w:val="21"/>
              </w:rPr>
            </w:pPr>
            <w:r>
              <w:rPr>
                <w:rFonts w:hint="eastAsia"/>
                <w:sz w:val="21"/>
                <w:szCs w:val="21"/>
              </w:rPr>
              <w:t>项目类型</w:t>
            </w:r>
          </w:p>
        </w:tc>
        <w:tc>
          <w:tcPr>
            <w:tcW w:w="2845" w:type="dxa"/>
            <w:vMerge w:val="restart"/>
            <w:noWrap w:val="0"/>
            <w:vAlign w:val="center"/>
          </w:tcPr>
          <w:p>
            <w:pPr>
              <w:jc w:val="center"/>
              <w:rPr>
                <w:rFonts w:hint="eastAsia"/>
                <w:sz w:val="21"/>
                <w:szCs w:val="21"/>
              </w:rPr>
            </w:pPr>
            <w:r>
              <w:rPr>
                <w:rFonts w:hint="eastAsia"/>
                <w:sz w:val="21"/>
                <w:szCs w:val="21"/>
              </w:rPr>
              <w:t>资金用途、使用方向</w:t>
            </w:r>
          </w:p>
        </w:tc>
        <w:tc>
          <w:tcPr>
            <w:tcW w:w="1714" w:type="dxa"/>
            <w:gridSpan w:val="2"/>
            <w:noWrap w:val="0"/>
            <w:vAlign w:val="center"/>
          </w:tcPr>
          <w:p>
            <w:pPr>
              <w:jc w:val="center"/>
              <w:rPr>
                <w:rFonts w:hint="eastAsia"/>
                <w:sz w:val="21"/>
                <w:szCs w:val="21"/>
              </w:rPr>
            </w:pPr>
            <w:r>
              <w:rPr>
                <w:rFonts w:hint="eastAsia"/>
                <w:sz w:val="21"/>
                <w:szCs w:val="21"/>
              </w:rPr>
              <w:t>预算金额</w:t>
            </w:r>
          </w:p>
        </w:tc>
        <w:tc>
          <w:tcPr>
            <w:tcW w:w="1579" w:type="dxa"/>
            <w:gridSpan w:val="2"/>
            <w:noWrap w:val="0"/>
            <w:vAlign w:val="center"/>
          </w:tcPr>
          <w:p>
            <w:pPr>
              <w:jc w:val="center"/>
              <w:rPr>
                <w:rFonts w:hint="eastAsia"/>
                <w:sz w:val="21"/>
                <w:szCs w:val="21"/>
              </w:rPr>
            </w:pPr>
            <w:r>
              <w:rPr>
                <w:rFonts w:hint="eastAsia"/>
                <w:sz w:val="21"/>
                <w:szCs w:val="21"/>
              </w:rPr>
              <w:t>支出金额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1247" w:type="dxa"/>
            <w:vMerge w:val="continue"/>
            <w:noWrap w:val="0"/>
            <w:vAlign w:val="center"/>
          </w:tcPr>
          <w:p>
            <w:pPr>
              <w:jc w:val="center"/>
              <w:rPr>
                <w:rFonts w:hint="eastAsia"/>
                <w:sz w:val="21"/>
                <w:szCs w:val="21"/>
              </w:rPr>
            </w:pPr>
          </w:p>
        </w:tc>
        <w:tc>
          <w:tcPr>
            <w:tcW w:w="1033" w:type="dxa"/>
            <w:vMerge w:val="continue"/>
            <w:noWrap w:val="0"/>
            <w:vAlign w:val="center"/>
          </w:tcPr>
          <w:p>
            <w:pPr>
              <w:jc w:val="center"/>
              <w:rPr>
                <w:rFonts w:hint="eastAsia"/>
                <w:sz w:val="21"/>
                <w:szCs w:val="21"/>
              </w:rPr>
            </w:pPr>
          </w:p>
        </w:tc>
        <w:tc>
          <w:tcPr>
            <w:tcW w:w="2845" w:type="dxa"/>
            <w:vMerge w:val="continue"/>
            <w:noWrap w:val="0"/>
            <w:vAlign w:val="center"/>
          </w:tcPr>
          <w:p>
            <w:pPr>
              <w:jc w:val="center"/>
              <w:rPr>
                <w:rFonts w:hint="eastAsia"/>
                <w:sz w:val="21"/>
                <w:szCs w:val="21"/>
              </w:rPr>
            </w:pPr>
          </w:p>
        </w:tc>
        <w:tc>
          <w:tcPr>
            <w:tcW w:w="830" w:type="dxa"/>
            <w:noWrap w:val="0"/>
            <w:vAlign w:val="center"/>
          </w:tcPr>
          <w:p>
            <w:pPr>
              <w:jc w:val="center"/>
              <w:rPr>
                <w:rFonts w:hint="eastAsia"/>
                <w:sz w:val="21"/>
                <w:szCs w:val="21"/>
              </w:rPr>
            </w:pPr>
            <w:r>
              <w:rPr>
                <w:rFonts w:hint="eastAsia"/>
                <w:sz w:val="21"/>
                <w:szCs w:val="21"/>
              </w:rPr>
              <w:t>指标</w:t>
            </w:r>
          </w:p>
          <w:p>
            <w:pPr>
              <w:jc w:val="center"/>
              <w:rPr>
                <w:rFonts w:hint="eastAsia"/>
                <w:sz w:val="21"/>
                <w:szCs w:val="21"/>
              </w:rPr>
            </w:pPr>
            <w:r>
              <w:rPr>
                <w:rFonts w:hint="eastAsia"/>
                <w:sz w:val="21"/>
                <w:szCs w:val="21"/>
              </w:rPr>
              <w:t>总额</w:t>
            </w:r>
          </w:p>
        </w:tc>
        <w:tc>
          <w:tcPr>
            <w:tcW w:w="884" w:type="dxa"/>
            <w:noWrap w:val="0"/>
            <w:vAlign w:val="center"/>
          </w:tcPr>
          <w:p>
            <w:pPr>
              <w:jc w:val="center"/>
              <w:rPr>
                <w:rFonts w:hint="eastAsia"/>
                <w:sz w:val="21"/>
                <w:szCs w:val="21"/>
              </w:rPr>
            </w:pPr>
            <w:r>
              <w:rPr>
                <w:rFonts w:hint="eastAsia"/>
                <w:sz w:val="21"/>
                <w:szCs w:val="21"/>
              </w:rPr>
              <w:t>其中：区级资金</w:t>
            </w:r>
          </w:p>
        </w:tc>
        <w:tc>
          <w:tcPr>
            <w:tcW w:w="738" w:type="dxa"/>
            <w:noWrap w:val="0"/>
            <w:vAlign w:val="center"/>
          </w:tcPr>
          <w:p>
            <w:pPr>
              <w:jc w:val="center"/>
              <w:rPr>
                <w:rFonts w:hint="eastAsia"/>
                <w:sz w:val="21"/>
                <w:szCs w:val="21"/>
              </w:rPr>
            </w:pPr>
            <w:r>
              <w:rPr>
                <w:rFonts w:hint="eastAsia"/>
                <w:sz w:val="21"/>
                <w:szCs w:val="21"/>
              </w:rPr>
              <w:t>支出总额</w:t>
            </w:r>
          </w:p>
        </w:tc>
        <w:tc>
          <w:tcPr>
            <w:tcW w:w="841" w:type="dxa"/>
            <w:noWrap w:val="0"/>
            <w:vAlign w:val="center"/>
          </w:tcPr>
          <w:p>
            <w:pPr>
              <w:jc w:val="center"/>
              <w:rPr>
                <w:rFonts w:hint="eastAsia"/>
                <w:sz w:val="21"/>
                <w:szCs w:val="21"/>
              </w:rPr>
            </w:pPr>
            <w:r>
              <w:rPr>
                <w:rFonts w:hint="eastAsia"/>
                <w:sz w:val="21"/>
                <w:szCs w:val="21"/>
              </w:rPr>
              <w:t>其中：区级资金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1247" w:type="dxa"/>
            <w:noWrap w:val="0"/>
            <w:vAlign w:val="center"/>
          </w:tcPr>
          <w:p>
            <w:pPr>
              <w:jc w:val="center"/>
              <w:rPr>
                <w:sz w:val="21"/>
                <w:szCs w:val="21"/>
              </w:rPr>
            </w:pPr>
            <w:r>
              <w:rPr>
                <w:rFonts w:hint="eastAsia"/>
                <w:sz w:val="21"/>
                <w:szCs w:val="21"/>
              </w:rPr>
              <w:t>（部门）楼宇经济工作经费、楼宇促进会专用经费</w:t>
            </w:r>
          </w:p>
        </w:tc>
        <w:tc>
          <w:tcPr>
            <w:tcW w:w="1033" w:type="dxa"/>
            <w:noWrap w:val="0"/>
            <w:vAlign w:val="center"/>
          </w:tcPr>
          <w:p>
            <w:pPr>
              <w:jc w:val="center"/>
              <w:rPr>
                <w:rFonts w:hint="eastAsia" w:eastAsiaTheme="minorEastAsia"/>
                <w:sz w:val="21"/>
                <w:szCs w:val="21"/>
                <w:lang w:eastAsia="zh-CN"/>
              </w:rPr>
            </w:pPr>
            <w:r>
              <w:rPr>
                <w:rFonts w:hint="eastAsia"/>
                <w:sz w:val="21"/>
                <w:szCs w:val="21"/>
                <w:lang w:val="en-US" w:eastAsia="zh-CN"/>
              </w:rPr>
              <w:t>经常性</w:t>
            </w:r>
          </w:p>
        </w:tc>
        <w:tc>
          <w:tcPr>
            <w:tcW w:w="2845" w:type="dxa"/>
            <w:noWrap w:val="0"/>
            <w:vAlign w:val="top"/>
          </w:tcPr>
          <w:p>
            <w:pPr>
              <w:jc w:val="center"/>
              <w:rPr>
                <w:rFonts w:hint="eastAsia"/>
                <w:sz w:val="21"/>
                <w:szCs w:val="21"/>
              </w:rPr>
            </w:pPr>
          </w:p>
          <w:p>
            <w:pPr>
              <w:jc w:val="center"/>
              <w:rPr>
                <w:rFonts w:hint="eastAsia"/>
                <w:sz w:val="21"/>
                <w:szCs w:val="21"/>
              </w:rPr>
            </w:pPr>
          </w:p>
          <w:p>
            <w:pPr>
              <w:jc w:val="center"/>
              <w:rPr>
                <w:rFonts w:hint="eastAsia"/>
                <w:sz w:val="21"/>
                <w:szCs w:val="21"/>
              </w:rPr>
            </w:pPr>
            <w:r>
              <w:rPr>
                <w:rFonts w:hint="eastAsia"/>
                <w:sz w:val="21"/>
                <w:szCs w:val="21"/>
              </w:rPr>
              <w:t>主要用于部门开展日常工作</w:t>
            </w:r>
          </w:p>
        </w:tc>
        <w:tc>
          <w:tcPr>
            <w:tcW w:w="830" w:type="dxa"/>
            <w:noWrap w:val="0"/>
            <w:vAlign w:val="top"/>
          </w:tcPr>
          <w:p>
            <w:pPr>
              <w:jc w:val="center"/>
              <w:rPr>
                <w:rFonts w:hint="eastAsia" w:ascii="仿宋_GB2312" w:hAnsi="仿宋_GB2312" w:eastAsia="仿宋_GB2312"/>
                <w:color w:val="000000"/>
                <w:kern w:val="2"/>
                <w:sz w:val="20"/>
                <w:szCs w:val="24"/>
                <w:lang w:val="en-US" w:eastAsia="zh-CN" w:bidi="ar-SA"/>
              </w:rPr>
            </w:pPr>
            <w:r>
              <w:rPr>
                <w:rFonts w:hint="eastAsia" w:ascii="仿宋_GB2312" w:hAnsi="仿宋_GB2312"/>
                <w:color w:val="000000"/>
                <w:sz w:val="20"/>
                <w:szCs w:val="24"/>
              </w:rPr>
              <w:t xml:space="preserve"> </w:t>
            </w:r>
            <w:r>
              <w:rPr>
                <w:rFonts w:hint="eastAsia" w:ascii="仿宋_GB2312" w:hAnsi="仿宋_GB2312"/>
                <w:color w:val="000000"/>
                <w:sz w:val="20"/>
                <w:szCs w:val="24"/>
                <w:lang w:val="en-US" w:eastAsia="zh-CN"/>
              </w:rPr>
              <w:t>30</w:t>
            </w:r>
            <w:r>
              <w:rPr>
                <w:rFonts w:hint="eastAsia" w:ascii="仿宋_GB2312" w:hAnsi="仿宋_GB2312"/>
                <w:color w:val="000000"/>
                <w:sz w:val="20"/>
                <w:szCs w:val="24"/>
              </w:rPr>
              <w:t xml:space="preserve"> </w:t>
            </w:r>
          </w:p>
        </w:tc>
        <w:tc>
          <w:tcPr>
            <w:tcW w:w="884" w:type="dxa"/>
            <w:noWrap w:val="0"/>
            <w:vAlign w:val="top"/>
          </w:tcPr>
          <w:p>
            <w:pPr>
              <w:jc w:val="center"/>
              <w:rPr>
                <w:rFonts w:hint="eastAsia" w:ascii="仿宋_GB2312" w:hAnsi="仿宋_GB2312" w:eastAsia="仿宋_GB2312"/>
                <w:color w:val="000000"/>
                <w:kern w:val="2"/>
                <w:sz w:val="20"/>
                <w:szCs w:val="24"/>
                <w:lang w:val="en-US" w:eastAsia="zh-CN" w:bidi="ar-SA"/>
              </w:rPr>
            </w:pPr>
            <w:r>
              <w:rPr>
                <w:rFonts w:hint="eastAsia" w:ascii="仿宋_GB2312" w:hAnsi="仿宋_GB2312"/>
                <w:color w:val="000000"/>
                <w:sz w:val="20"/>
                <w:szCs w:val="24"/>
              </w:rPr>
              <w:t xml:space="preserve">  </w:t>
            </w:r>
            <w:r>
              <w:rPr>
                <w:rFonts w:hint="eastAsia" w:ascii="仿宋_GB2312" w:hAnsi="仿宋_GB2312"/>
                <w:color w:val="000000"/>
                <w:sz w:val="20"/>
                <w:szCs w:val="24"/>
                <w:lang w:val="en-US" w:eastAsia="zh-CN"/>
              </w:rPr>
              <w:t>30</w:t>
            </w:r>
            <w:r>
              <w:rPr>
                <w:rFonts w:hint="eastAsia" w:ascii="仿宋_GB2312" w:hAnsi="仿宋_GB2312"/>
                <w:color w:val="000000"/>
                <w:sz w:val="20"/>
                <w:szCs w:val="24"/>
              </w:rPr>
              <w:t xml:space="preserve">  </w:t>
            </w:r>
          </w:p>
        </w:tc>
        <w:tc>
          <w:tcPr>
            <w:tcW w:w="738" w:type="dxa"/>
            <w:noWrap w:val="0"/>
            <w:vAlign w:val="top"/>
          </w:tcPr>
          <w:p>
            <w:pPr>
              <w:jc w:val="center"/>
              <w:rPr>
                <w:rFonts w:hint="eastAsia" w:ascii="仿宋_GB2312" w:hAnsi="仿宋_GB2312" w:eastAsia="仿宋_GB2312"/>
                <w:color w:val="000000"/>
                <w:kern w:val="2"/>
                <w:sz w:val="20"/>
                <w:szCs w:val="24"/>
                <w:lang w:val="en-US" w:eastAsia="zh-CN" w:bidi="ar-SA"/>
              </w:rPr>
            </w:pPr>
            <w:r>
              <w:rPr>
                <w:rFonts w:hint="eastAsia" w:ascii="仿宋_GB2312" w:hAnsi="仿宋_GB2312"/>
                <w:color w:val="000000"/>
                <w:sz w:val="20"/>
                <w:szCs w:val="24"/>
              </w:rPr>
              <w:t xml:space="preserve"> </w:t>
            </w:r>
            <w:r>
              <w:rPr>
                <w:rFonts w:hint="eastAsia" w:ascii="仿宋_GB2312" w:hAnsi="仿宋_GB2312"/>
                <w:color w:val="000000"/>
                <w:sz w:val="20"/>
                <w:szCs w:val="24"/>
                <w:lang w:val="en-US" w:eastAsia="zh-CN"/>
              </w:rPr>
              <w:t>30</w:t>
            </w:r>
            <w:r>
              <w:rPr>
                <w:rFonts w:hint="eastAsia" w:ascii="仿宋_GB2312" w:hAnsi="仿宋_GB2312"/>
                <w:color w:val="000000"/>
                <w:sz w:val="20"/>
                <w:szCs w:val="24"/>
              </w:rPr>
              <w:t xml:space="preserve">  </w:t>
            </w:r>
          </w:p>
        </w:tc>
        <w:tc>
          <w:tcPr>
            <w:tcW w:w="841" w:type="dxa"/>
            <w:noWrap w:val="0"/>
            <w:vAlign w:val="top"/>
          </w:tcPr>
          <w:p>
            <w:pPr>
              <w:jc w:val="center"/>
              <w:rPr>
                <w:rFonts w:hint="eastAsia" w:ascii="仿宋_GB2312" w:hAnsi="仿宋_GB2312" w:eastAsia="仿宋_GB2312"/>
                <w:color w:val="000000"/>
                <w:kern w:val="2"/>
                <w:sz w:val="20"/>
                <w:szCs w:val="24"/>
                <w:lang w:val="en-US" w:eastAsia="zh-CN" w:bidi="ar-SA"/>
              </w:rPr>
            </w:pPr>
            <w:r>
              <w:rPr>
                <w:rFonts w:hint="eastAsia" w:ascii="仿宋_GB2312" w:hAnsi="仿宋_GB2312"/>
                <w:color w:val="000000"/>
                <w:sz w:val="20"/>
                <w:szCs w:val="24"/>
              </w:rPr>
              <w:t xml:space="preserve"> </w:t>
            </w:r>
            <w:r>
              <w:rPr>
                <w:rFonts w:hint="eastAsia" w:ascii="仿宋_GB2312" w:hAnsi="仿宋_GB2312"/>
                <w:color w:val="000000"/>
                <w:sz w:val="20"/>
                <w:szCs w:val="24"/>
                <w:lang w:val="en-US" w:eastAsia="zh-CN"/>
              </w:rPr>
              <w:t>30</w:t>
            </w:r>
            <w:r>
              <w:rPr>
                <w:rFonts w:hint="eastAsia" w:ascii="仿宋_GB2312" w:hAnsi="仿宋_GB2312"/>
                <w:color w:val="000000"/>
                <w:sz w:val="20"/>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25" w:type="dxa"/>
            <w:gridSpan w:val="3"/>
            <w:noWrap w:val="0"/>
            <w:vAlign w:val="center"/>
          </w:tcPr>
          <w:p>
            <w:pPr>
              <w:tabs>
                <w:tab w:val="left" w:pos="2243"/>
              </w:tabs>
              <w:rPr>
                <w:rFonts w:hint="eastAsia"/>
                <w:sz w:val="21"/>
                <w:szCs w:val="21"/>
              </w:rPr>
            </w:pPr>
            <w:r>
              <w:rPr>
                <w:rFonts w:hint="eastAsia"/>
                <w:sz w:val="21"/>
                <w:szCs w:val="21"/>
              </w:rPr>
              <w:tab/>
            </w:r>
            <w:r>
              <w:rPr>
                <w:rFonts w:hint="eastAsia"/>
                <w:sz w:val="21"/>
                <w:szCs w:val="21"/>
              </w:rPr>
              <w:t>合计</w:t>
            </w:r>
          </w:p>
        </w:tc>
        <w:tc>
          <w:tcPr>
            <w:tcW w:w="830" w:type="dxa"/>
            <w:noWrap w:val="0"/>
            <w:vAlign w:val="top"/>
          </w:tcPr>
          <w:p>
            <w:pPr>
              <w:jc w:val="center"/>
              <w:rPr>
                <w:rFonts w:hint="eastAsia" w:ascii="仿宋_GB2312" w:hAnsi="仿宋_GB2312"/>
                <w:color w:val="000000"/>
                <w:sz w:val="20"/>
                <w:szCs w:val="24"/>
              </w:rPr>
            </w:pPr>
            <w:r>
              <w:rPr>
                <w:rFonts w:hint="eastAsia" w:ascii="仿宋_GB2312" w:hAnsi="仿宋_GB2312"/>
                <w:color w:val="000000"/>
                <w:sz w:val="20"/>
                <w:szCs w:val="24"/>
                <w:lang w:val="en-US" w:eastAsia="zh-CN"/>
              </w:rPr>
              <w:t>30</w:t>
            </w:r>
            <w:r>
              <w:rPr>
                <w:rFonts w:hint="eastAsia" w:ascii="仿宋_GB2312" w:hAnsi="仿宋_GB2312"/>
                <w:color w:val="000000"/>
                <w:sz w:val="20"/>
                <w:szCs w:val="24"/>
              </w:rPr>
              <w:t xml:space="preserve"> </w:t>
            </w:r>
          </w:p>
        </w:tc>
        <w:tc>
          <w:tcPr>
            <w:tcW w:w="884" w:type="dxa"/>
            <w:noWrap w:val="0"/>
            <w:vAlign w:val="top"/>
          </w:tcPr>
          <w:p>
            <w:pPr>
              <w:jc w:val="center"/>
              <w:rPr>
                <w:rFonts w:hint="eastAsia" w:ascii="仿宋_GB2312" w:hAnsi="仿宋_GB2312"/>
                <w:color w:val="000000"/>
                <w:sz w:val="20"/>
                <w:szCs w:val="24"/>
              </w:rPr>
            </w:pPr>
            <w:r>
              <w:rPr>
                <w:rFonts w:hint="eastAsia" w:ascii="仿宋_GB2312" w:hAnsi="仿宋_GB2312"/>
                <w:color w:val="000000"/>
                <w:sz w:val="20"/>
                <w:szCs w:val="24"/>
              </w:rPr>
              <w:t xml:space="preserve"> </w:t>
            </w:r>
            <w:r>
              <w:rPr>
                <w:rFonts w:hint="eastAsia" w:ascii="仿宋_GB2312" w:hAnsi="仿宋_GB2312"/>
                <w:color w:val="000000"/>
                <w:sz w:val="20"/>
                <w:szCs w:val="24"/>
                <w:lang w:val="en-US" w:eastAsia="zh-CN"/>
              </w:rPr>
              <w:t>30</w:t>
            </w:r>
            <w:r>
              <w:rPr>
                <w:rFonts w:hint="eastAsia" w:ascii="仿宋_GB2312" w:hAnsi="仿宋_GB2312"/>
                <w:color w:val="000000"/>
                <w:sz w:val="20"/>
                <w:szCs w:val="24"/>
              </w:rPr>
              <w:t xml:space="preserve">  </w:t>
            </w:r>
          </w:p>
        </w:tc>
        <w:tc>
          <w:tcPr>
            <w:tcW w:w="738" w:type="dxa"/>
            <w:noWrap w:val="0"/>
            <w:vAlign w:val="top"/>
          </w:tcPr>
          <w:p>
            <w:pPr>
              <w:jc w:val="center"/>
              <w:rPr>
                <w:rFonts w:hint="eastAsia" w:ascii="仿宋_GB2312" w:hAnsi="仿宋_GB2312"/>
                <w:color w:val="000000"/>
                <w:sz w:val="20"/>
                <w:szCs w:val="24"/>
              </w:rPr>
            </w:pPr>
            <w:r>
              <w:rPr>
                <w:rFonts w:hint="eastAsia" w:ascii="仿宋_GB2312" w:hAnsi="仿宋_GB2312"/>
                <w:color w:val="000000"/>
                <w:sz w:val="20"/>
                <w:szCs w:val="24"/>
              </w:rPr>
              <w:t xml:space="preserve"> </w:t>
            </w:r>
            <w:r>
              <w:rPr>
                <w:rFonts w:hint="eastAsia" w:ascii="仿宋_GB2312" w:hAnsi="仿宋_GB2312"/>
                <w:color w:val="000000"/>
                <w:sz w:val="20"/>
                <w:szCs w:val="24"/>
                <w:lang w:val="en-US" w:eastAsia="zh-CN"/>
              </w:rPr>
              <w:t>30</w:t>
            </w:r>
            <w:r>
              <w:rPr>
                <w:rFonts w:hint="eastAsia" w:ascii="仿宋_GB2312" w:hAnsi="仿宋_GB2312"/>
                <w:color w:val="000000"/>
                <w:sz w:val="20"/>
                <w:szCs w:val="24"/>
              </w:rPr>
              <w:t xml:space="preserve">  </w:t>
            </w:r>
          </w:p>
        </w:tc>
        <w:tc>
          <w:tcPr>
            <w:tcW w:w="841" w:type="dxa"/>
            <w:noWrap w:val="0"/>
            <w:vAlign w:val="top"/>
          </w:tcPr>
          <w:p>
            <w:pPr>
              <w:jc w:val="center"/>
              <w:rPr>
                <w:rFonts w:hint="eastAsia" w:ascii="仿宋_GB2312" w:hAnsi="仿宋_GB2312"/>
                <w:color w:val="000000"/>
                <w:sz w:val="20"/>
                <w:szCs w:val="24"/>
              </w:rPr>
            </w:pPr>
            <w:r>
              <w:rPr>
                <w:rFonts w:hint="eastAsia" w:ascii="仿宋_GB2312" w:hAnsi="仿宋_GB2312"/>
                <w:color w:val="000000"/>
                <w:sz w:val="20"/>
                <w:szCs w:val="24"/>
              </w:rPr>
              <w:t xml:space="preserve"> </w:t>
            </w:r>
            <w:r>
              <w:rPr>
                <w:rFonts w:hint="eastAsia" w:ascii="仿宋_GB2312" w:hAnsi="仿宋_GB2312"/>
                <w:color w:val="000000"/>
                <w:sz w:val="20"/>
                <w:szCs w:val="24"/>
                <w:lang w:val="en-US" w:eastAsia="zh-CN"/>
              </w:rPr>
              <w:t>30</w:t>
            </w:r>
            <w:r>
              <w:rPr>
                <w:rFonts w:hint="eastAsia" w:ascii="仿宋_GB2312" w:hAnsi="仿宋_GB2312"/>
                <w:color w:val="000000"/>
                <w:sz w:val="20"/>
                <w:szCs w:val="24"/>
              </w:rPr>
              <w:t xml:space="preserve">  </w:t>
            </w:r>
          </w:p>
        </w:tc>
      </w:tr>
    </w:tbl>
    <w:p>
      <w:pPr>
        <w:spacing w:line="560" w:lineRule="exact"/>
        <w:ind w:left="640"/>
        <w:rPr>
          <w:rFonts w:eastAsia="楷体_GB2312"/>
          <w:bCs/>
          <w:sz w:val="32"/>
          <w:szCs w:val="32"/>
        </w:rPr>
      </w:pPr>
      <w:r>
        <w:rPr>
          <w:rFonts w:hint="eastAsia" w:eastAsia="楷体_GB2312"/>
          <w:bCs/>
          <w:sz w:val="32"/>
          <w:szCs w:val="32"/>
        </w:rPr>
        <w:t>（二）</w:t>
      </w:r>
      <w:r>
        <w:rPr>
          <w:rFonts w:hint="eastAsia" w:eastAsia="楷体_GB2312"/>
          <w:bCs/>
          <w:sz w:val="32"/>
          <w:szCs w:val="32"/>
          <w:lang w:val="en-US" w:eastAsia="zh-CN"/>
        </w:rPr>
        <w:t>重点</w:t>
      </w:r>
      <w:r>
        <w:rPr>
          <w:rFonts w:hint="eastAsia" w:eastAsia="楷体_GB2312"/>
          <w:bCs/>
          <w:sz w:val="32"/>
          <w:szCs w:val="32"/>
        </w:rPr>
        <w:t>项目绩效</w:t>
      </w:r>
      <w:r>
        <w:rPr>
          <w:rFonts w:eastAsia="楷体_GB2312"/>
          <w:bCs/>
          <w:sz w:val="32"/>
          <w:szCs w:val="32"/>
        </w:rPr>
        <w:t>目标</w:t>
      </w:r>
      <w:r>
        <w:rPr>
          <w:rFonts w:hint="eastAsia" w:eastAsia="楷体_GB2312"/>
          <w:bCs/>
          <w:sz w:val="32"/>
          <w:szCs w:val="32"/>
        </w:rPr>
        <w:t>情况</w:t>
      </w:r>
    </w:p>
    <w:p>
      <w:pPr>
        <w:widowControl/>
        <w:snapToGrid w:val="0"/>
        <w:spacing w:line="560" w:lineRule="exact"/>
        <w:ind w:firstLine="640" w:firstLineChars="200"/>
        <w:jc w:val="left"/>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2021年重点项目绩效目标情况如下：</w:t>
      </w:r>
    </w:p>
    <w:p>
      <w:pPr>
        <w:widowControl/>
        <w:snapToGrid w:val="0"/>
        <w:spacing w:line="560" w:lineRule="exact"/>
        <w:ind w:firstLine="640" w:firstLineChars="200"/>
        <w:jc w:val="left"/>
        <w:rPr>
          <w:rFonts w:hint="eastAsia"/>
        </w:rPr>
      </w:pPr>
      <w:r>
        <w:rPr>
          <w:rFonts w:hint="default" w:ascii="Times New Roman" w:hAnsi="Times New Roman" w:cs="Times New Roman"/>
          <w:sz w:val="32"/>
          <w:szCs w:val="32"/>
          <w:lang w:val="en-US" w:eastAsia="zh-CN"/>
        </w:rPr>
        <w:t>1</w:t>
      </w:r>
      <w:r>
        <w:rPr>
          <w:rFonts w:hint="default" w:ascii="Times New Roman" w:hAnsi="Times New Roman" w:cs="Times New Roman"/>
          <w:sz w:val="32"/>
          <w:szCs w:val="32"/>
        </w:rPr>
        <w:t>、楼宇经济工作经费。拓展楼宇经济工作交流渠道，协助楼宇企业走出去、引进来。联合楼宇政企服务站、开福区楼宇经济促进会开展形式多样的座谈、沙龙、培训、体健等活动。为辖区内楼宇企业搭建沟通交流桥梁，打造良好的营商环境。2021年计划携</w:t>
      </w:r>
      <w:bookmarkStart w:id="0" w:name="_GoBack"/>
      <w:bookmarkEnd w:id="0"/>
      <w:r>
        <w:rPr>
          <w:rFonts w:hint="default" w:ascii="Times New Roman" w:hAnsi="Times New Roman" w:cs="Times New Roman"/>
          <w:sz w:val="32"/>
          <w:szCs w:val="32"/>
        </w:rPr>
        <w:t>手中国楼宇经济联盟在我区举办第七届中国楼宇经济峰会，该联盟是国内第一个以楼宇经济为主题，以城区政府、楼宇企业为会员的民间机构，会员单位遍布全国所有省会城市、副省级城市、特色地市级城市的43个城区政府、102家楼宇开发运营企业。希望通过高端峰会</w:t>
      </w:r>
      <w:r>
        <w:rPr>
          <w:rFonts w:hint="eastAsia" w:ascii="仿宋_GB2312" w:hAnsi="仿宋" w:cs="仿宋"/>
          <w:sz w:val="32"/>
          <w:szCs w:val="32"/>
        </w:rPr>
        <w:t>和相关活动的举办，宣传推介好开福楼宇和开福资源，也让更多企业了解开福、选择开福。</w:t>
      </w:r>
    </w:p>
    <w:p>
      <w:pPr>
        <w:widowControl/>
        <w:snapToGrid w:val="0"/>
        <w:spacing w:line="560" w:lineRule="exact"/>
        <w:ind w:firstLine="640" w:firstLineChars="200"/>
        <w:jc w:val="left"/>
        <w:rPr>
          <w:rFonts w:hint="eastAsia" w:ascii="仿宋_GB2312" w:hAnsi="仿宋" w:cs="仿宋"/>
          <w:sz w:val="32"/>
          <w:szCs w:val="32"/>
        </w:rPr>
      </w:pPr>
      <w:r>
        <w:rPr>
          <w:rFonts w:hint="eastAsia" w:ascii="仿宋_GB2312" w:hAnsi="仿宋" w:cs="仿宋"/>
          <w:sz w:val="32"/>
          <w:szCs w:val="32"/>
        </w:rPr>
        <w:t>2、楼宇促进会专用经费。积极协助楼宇项目二次招商，做好企业服务工作。通过多渠道多平台宣传推介我区楼宇资源、加快意向客商的走访和对接，通过小分队等形式主动开展二次招商工作；通过召开重点楼宇项目座谈会等方式，梳理各重点项目招商计划、宣传需求及问题难点，整合楼宇宣传资源，做好金融商务区的宣传和政策解读，推动重点楼宇项目加速去化；通过楼宇政企服务站定期深入重点楼宇入驻企业了解需求，协调解决业务对接、政策申报、政务服务等相关问题，坚持为入驻企业提供专业、周到、快捷的服务，以高效优质的主动服务营造“尊商、亲商、安商”的良好环境。</w:t>
      </w:r>
    </w:p>
    <w:p>
      <w:pPr>
        <w:spacing w:line="560" w:lineRule="exact"/>
        <w:ind w:left="640"/>
        <w:rPr>
          <w:rFonts w:eastAsia="楷体_GB2312"/>
          <w:bCs/>
          <w:sz w:val="32"/>
          <w:szCs w:val="32"/>
        </w:rPr>
      </w:pPr>
      <w:r>
        <w:rPr>
          <w:rFonts w:hint="eastAsia" w:eastAsia="楷体_GB2312"/>
          <w:bCs/>
          <w:sz w:val="32"/>
          <w:szCs w:val="32"/>
        </w:rPr>
        <w:t>（三）</w:t>
      </w:r>
      <w:r>
        <w:rPr>
          <w:rFonts w:eastAsia="楷体_GB2312"/>
          <w:bCs/>
          <w:sz w:val="32"/>
          <w:szCs w:val="32"/>
        </w:rPr>
        <w:t>资金使用管理情况</w:t>
      </w:r>
    </w:p>
    <w:p>
      <w:pPr>
        <w:spacing w:line="560" w:lineRule="exact"/>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严格执行《开福区现代服务业发展办公室财务管理制度》，制定了专项资金管理办法，按规定标准和程序分配资金，按规定的用途和计划使用资金，资金使用和会计核算是否规范，无资金浪费行为和挤占挪用或套取资金现象。</w:t>
      </w:r>
    </w:p>
    <w:p>
      <w:pPr>
        <w:spacing w:line="560" w:lineRule="exact"/>
        <w:ind w:firstLine="640" w:firstLineChars="200"/>
        <w:rPr>
          <w:rFonts w:hint="eastAsia" w:ascii="仿宋" w:hAnsi="仿宋" w:eastAsia="仿宋" w:cs="宋体"/>
          <w:color w:val="000000"/>
          <w:kern w:val="0"/>
          <w:sz w:val="32"/>
          <w:szCs w:val="32"/>
        </w:rPr>
      </w:pPr>
      <w:r>
        <w:rPr>
          <w:rFonts w:hint="eastAsia" w:eastAsia="黑体"/>
          <w:sz w:val="32"/>
          <w:szCs w:val="32"/>
        </w:rPr>
        <w:t>二、</w:t>
      </w:r>
      <w:r>
        <w:rPr>
          <w:rFonts w:eastAsia="黑体"/>
          <w:sz w:val="32"/>
          <w:szCs w:val="32"/>
        </w:rPr>
        <w:t>绩效评价工作情况</w:t>
      </w:r>
    </w:p>
    <w:p>
      <w:pPr>
        <w:spacing w:line="560" w:lineRule="exact"/>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综合科牵头，其他科室配合，已制定或具有相应的项目资金管理办法；项目资金管理办法符合相关财务会计制度的规定。符合国家财经法规和财务管理制度以及有关预算支出管理办法的规定；资金的拨付有完整的审批程序和手续；项目的重大开支经过评估认证；符合项目预算批复或合同规定的用途；不存在截留、挤占、挪用、虚列支出等情况。已制定或具有相应的监控机制；采取了相应的财务检查、绩效监控等必要的监控措施或手段。原始凭据齐全，会计资料反映的具体开支内容、对象、用途等清晰；按要求实行项目专账核算，专项开支账目清晰、完整。</w:t>
      </w:r>
    </w:p>
    <w:p>
      <w:pPr>
        <w:numPr>
          <w:ilvl w:val="0"/>
          <w:numId w:val="1"/>
        </w:numPr>
        <w:spacing w:line="560" w:lineRule="exact"/>
        <w:rPr>
          <w:rFonts w:eastAsia="黑体"/>
          <w:sz w:val="32"/>
          <w:szCs w:val="32"/>
        </w:rPr>
      </w:pPr>
      <w:r>
        <w:rPr>
          <w:rFonts w:hint="eastAsia" w:eastAsia="黑体"/>
          <w:sz w:val="32"/>
          <w:szCs w:val="32"/>
          <w:lang w:val="en-US" w:eastAsia="zh-CN"/>
        </w:rPr>
        <w:t>重点</w:t>
      </w:r>
      <w:r>
        <w:rPr>
          <w:rFonts w:hint="eastAsia" w:eastAsia="黑体"/>
          <w:sz w:val="32"/>
          <w:szCs w:val="32"/>
        </w:rPr>
        <w:t>项目支出</w:t>
      </w:r>
      <w:r>
        <w:rPr>
          <w:rFonts w:eastAsia="黑体"/>
          <w:sz w:val="32"/>
          <w:szCs w:val="32"/>
        </w:rPr>
        <w:t>主要绩效</w:t>
      </w:r>
    </w:p>
    <w:p>
      <w:pPr>
        <w:pStyle w:val="4"/>
        <w:tabs>
          <w:tab w:val="left" w:pos="4200"/>
        </w:tabs>
        <w:adjustRightInd w:val="0"/>
        <w:snapToGrid w:val="0"/>
        <w:spacing w:before="0" w:beforeAutospacing="0" w:after="0" w:afterAutospacing="0" w:line="580" w:lineRule="atLeast"/>
        <w:ind w:firstLine="636" w:firstLineChars="199"/>
        <w:rPr>
          <w:rFonts w:hint="eastAsia" w:ascii="仿宋" w:hAnsi="仿宋" w:eastAsia="仿宋"/>
          <w:color w:val="000000"/>
          <w:sz w:val="32"/>
          <w:szCs w:val="32"/>
        </w:rPr>
      </w:pPr>
      <w:r>
        <w:rPr>
          <w:rFonts w:hint="eastAsia" w:ascii="仿宋" w:hAnsi="仿宋" w:eastAsia="仿宋"/>
          <w:color w:val="000000"/>
          <w:sz w:val="32"/>
          <w:szCs w:val="32"/>
        </w:rPr>
        <w:t>2021年以来，我中心在区委、区政府的坚强领导下，围绕楼宇经济工作重点，进一步抓产业、优环境、强实体，全力将楼宇打造成为“立起来的园区”。在圆满完成了年初既定目标任务的同时，领导班子整体素质不断提升，干部队伍战斗力不断增强。</w:t>
      </w:r>
    </w:p>
    <w:p>
      <w:pPr>
        <w:pStyle w:val="4"/>
        <w:tabs>
          <w:tab w:val="left" w:pos="4200"/>
        </w:tabs>
        <w:adjustRightInd w:val="0"/>
        <w:snapToGrid w:val="0"/>
        <w:spacing w:before="0" w:beforeAutospacing="0" w:after="0" w:afterAutospacing="0" w:line="580" w:lineRule="atLeast"/>
        <w:ind w:firstLine="636" w:firstLineChars="199"/>
        <w:rPr>
          <w:rFonts w:hint="eastAsia" w:ascii="仿宋" w:hAnsi="仿宋" w:eastAsia="仿宋"/>
          <w:color w:val="000000"/>
          <w:sz w:val="32"/>
          <w:szCs w:val="32"/>
        </w:rPr>
      </w:pPr>
      <w:r>
        <w:rPr>
          <w:rFonts w:hint="eastAsia" w:ascii="仿宋" w:hAnsi="仿宋" w:eastAsia="仿宋"/>
          <w:color w:val="000000"/>
          <w:sz w:val="32"/>
          <w:szCs w:val="32"/>
        </w:rPr>
        <w:t>1、“平米效益”促升级。今年，我中心联合世界五大行之一的戴德梁行启动楼宇“平米效益”评价规范工作，从党群建设、经济效益、硬件设施、绿色环保、智能管理、营商环境等多维度对楼宇开展综合效益评定，并依据综合评价结果，逐步建立正向激励和反向倒逼机制，使其成为新阶段楼宇经济高质量发展的“指挥棒”，助推楼宇经济提质增效、转型升级。</w:t>
      </w:r>
    </w:p>
    <w:p>
      <w:pPr>
        <w:pStyle w:val="4"/>
        <w:tabs>
          <w:tab w:val="left" w:pos="4200"/>
        </w:tabs>
        <w:adjustRightInd w:val="0"/>
        <w:snapToGrid w:val="0"/>
        <w:spacing w:before="0" w:beforeAutospacing="0" w:after="0" w:afterAutospacing="0" w:line="580" w:lineRule="atLeast"/>
        <w:ind w:firstLine="636" w:firstLineChars="199"/>
        <w:rPr>
          <w:rFonts w:hint="eastAsia" w:ascii="仿宋" w:hAnsi="仿宋" w:eastAsia="仿宋"/>
          <w:color w:val="000000"/>
          <w:sz w:val="32"/>
          <w:szCs w:val="32"/>
        </w:rPr>
      </w:pPr>
      <w:r>
        <w:rPr>
          <w:rFonts w:hint="eastAsia" w:ascii="仿宋" w:hAnsi="仿宋" w:eastAsia="仿宋"/>
          <w:color w:val="000000"/>
          <w:sz w:val="32"/>
          <w:szCs w:val="32"/>
        </w:rPr>
        <w:t>2、“楼长制”显成效。进一步深入细化“楼长制”，精准帮扶企业战疫情、保安全，稳生产、拓市场，抓投资、增效益。通过建立完善重点企业库、重点税源库，加大实地走访和调研，及时了解联点楼宇项目和重点企业生产经营状况，问需于企、</w:t>
      </w:r>
      <w:r>
        <w:rPr>
          <w:rFonts w:ascii="仿宋" w:hAnsi="仿宋" w:eastAsia="仿宋"/>
          <w:color w:val="000000"/>
          <w:sz w:val="32"/>
          <w:szCs w:val="32"/>
        </w:rPr>
        <w:t>问计于企</w:t>
      </w:r>
      <w:r>
        <w:rPr>
          <w:rFonts w:hint="eastAsia" w:ascii="仿宋" w:hAnsi="仿宋" w:eastAsia="仿宋"/>
          <w:color w:val="000000"/>
          <w:sz w:val="32"/>
          <w:szCs w:val="32"/>
        </w:rPr>
        <w:t>、为企纾困。开福区“楼长制”荣获长沙市“十佳重点攻坚改革成果”，并于今年上半年连续获得湖南卫视、湖南经视、长沙晚报、新华网-湖南频道、红网时刻、新湖南客户端、长沙电视台、掌上长沙、星辰在线等十余家主流媒体集中报道。</w:t>
      </w:r>
    </w:p>
    <w:p>
      <w:pPr>
        <w:widowControl/>
        <w:adjustRightInd w:val="0"/>
        <w:snapToGrid w:val="0"/>
        <w:spacing w:line="580" w:lineRule="atLeas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3、“政企服务站”优服务。为</w:t>
      </w:r>
      <w:r>
        <w:rPr>
          <w:rFonts w:ascii="仿宋" w:hAnsi="仿宋" w:eastAsia="仿宋" w:cs="宋体"/>
          <w:color w:val="000000"/>
          <w:kern w:val="0"/>
          <w:sz w:val="32"/>
          <w:szCs w:val="32"/>
        </w:rPr>
        <w:t>进一步发挥商务楼宇政企服务站公共平台功能，</w:t>
      </w:r>
      <w:r>
        <w:rPr>
          <w:rFonts w:hint="eastAsia" w:ascii="仿宋" w:hAnsi="仿宋" w:eastAsia="仿宋" w:cs="宋体"/>
          <w:color w:val="000000"/>
          <w:kern w:val="0"/>
          <w:sz w:val="32"/>
          <w:szCs w:val="32"/>
        </w:rPr>
        <w:t>完善“全生命周期”服务体系。一方面，</w:t>
      </w:r>
      <w:r>
        <w:rPr>
          <w:rFonts w:ascii="仿宋" w:hAnsi="仿宋" w:eastAsia="仿宋" w:cs="宋体"/>
          <w:color w:val="000000"/>
          <w:kern w:val="0"/>
          <w:sz w:val="32"/>
          <w:szCs w:val="32"/>
        </w:rPr>
        <w:t>围绕</w:t>
      </w:r>
      <w:r>
        <w:rPr>
          <w:rFonts w:hint="eastAsia" w:ascii="仿宋" w:hAnsi="仿宋" w:eastAsia="仿宋" w:cs="宋体"/>
          <w:color w:val="000000"/>
          <w:kern w:val="0"/>
          <w:sz w:val="32"/>
          <w:szCs w:val="32"/>
        </w:rPr>
        <w:t>初创企业税务筹划、新</w:t>
      </w:r>
      <w:r>
        <w:rPr>
          <w:rFonts w:ascii="仿宋" w:hAnsi="仿宋" w:eastAsia="仿宋" w:cs="宋体"/>
          <w:color w:val="000000"/>
          <w:kern w:val="0"/>
          <w:sz w:val="32"/>
          <w:szCs w:val="32"/>
        </w:rPr>
        <w:t>财税</w:t>
      </w:r>
      <w:r>
        <w:rPr>
          <w:rFonts w:hint="eastAsia" w:ascii="仿宋" w:hAnsi="仿宋" w:eastAsia="仿宋" w:cs="宋体"/>
          <w:color w:val="000000"/>
          <w:kern w:val="0"/>
          <w:sz w:val="32"/>
          <w:szCs w:val="32"/>
        </w:rPr>
        <w:t>法、十四五规划解读、银企对接、公司法</w:t>
      </w:r>
      <w:r>
        <w:rPr>
          <w:rFonts w:ascii="仿宋" w:hAnsi="仿宋" w:eastAsia="仿宋" w:cs="宋体"/>
          <w:color w:val="000000"/>
          <w:kern w:val="0"/>
          <w:sz w:val="32"/>
          <w:szCs w:val="32"/>
        </w:rPr>
        <w:t>等</w:t>
      </w:r>
      <w:r>
        <w:rPr>
          <w:rFonts w:hint="eastAsia" w:ascii="仿宋" w:hAnsi="仿宋" w:eastAsia="仿宋" w:cs="宋体"/>
          <w:color w:val="000000"/>
          <w:kern w:val="0"/>
          <w:sz w:val="32"/>
          <w:szCs w:val="32"/>
        </w:rPr>
        <w:t>内容版块</w:t>
      </w:r>
      <w:r>
        <w:rPr>
          <w:rFonts w:ascii="仿宋" w:hAnsi="仿宋" w:eastAsia="仿宋" w:cs="宋体"/>
          <w:color w:val="000000"/>
          <w:kern w:val="0"/>
          <w:sz w:val="32"/>
          <w:szCs w:val="32"/>
        </w:rPr>
        <w:t>，针对</w:t>
      </w:r>
      <w:r>
        <w:rPr>
          <w:rFonts w:hint="eastAsia" w:ascii="仿宋" w:hAnsi="仿宋" w:eastAsia="仿宋" w:cs="宋体"/>
          <w:color w:val="000000"/>
          <w:kern w:val="0"/>
          <w:sz w:val="32"/>
          <w:szCs w:val="32"/>
        </w:rPr>
        <w:t>区内</w:t>
      </w:r>
      <w:r>
        <w:rPr>
          <w:rFonts w:ascii="仿宋" w:hAnsi="仿宋" w:eastAsia="仿宋" w:cs="宋体"/>
          <w:color w:val="000000"/>
          <w:kern w:val="0"/>
          <w:sz w:val="32"/>
          <w:szCs w:val="32"/>
        </w:rPr>
        <w:t>楼宇</w:t>
      </w:r>
      <w:r>
        <w:rPr>
          <w:rFonts w:hint="eastAsia" w:ascii="仿宋" w:hAnsi="仿宋" w:eastAsia="仿宋" w:cs="宋体"/>
          <w:color w:val="000000"/>
          <w:kern w:val="0"/>
          <w:sz w:val="32"/>
          <w:szCs w:val="32"/>
        </w:rPr>
        <w:t>项目及</w:t>
      </w:r>
      <w:r>
        <w:rPr>
          <w:rFonts w:ascii="仿宋" w:hAnsi="仿宋" w:eastAsia="仿宋" w:cs="宋体"/>
          <w:color w:val="000000"/>
          <w:kern w:val="0"/>
          <w:sz w:val="32"/>
          <w:szCs w:val="32"/>
        </w:rPr>
        <w:t>企业开展主题讲座</w:t>
      </w:r>
      <w:r>
        <w:rPr>
          <w:rFonts w:hint="eastAsia" w:ascii="仿宋" w:hAnsi="仿宋" w:eastAsia="仿宋" w:cs="宋体"/>
          <w:color w:val="000000"/>
          <w:kern w:val="0"/>
          <w:sz w:val="32"/>
          <w:szCs w:val="32"/>
        </w:rPr>
        <w:t>7场，</w:t>
      </w:r>
      <w:r>
        <w:rPr>
          <w:rFonts w:ascii="仿宋" w:hAnsi="仿宋" w:eastAsia="仿宋" w:cs="宋体"/>
          <w:color w:val="000000"/>
          <w:kern w:val="0"/>
          <w:sz w:val="32"/>
          <w:szCs w:val="32"/>
        </w:rPr>
        <w:t>获得</w:t>
      </w:r>
      <w:r>
        <w:rPr>
          <w:rFonts w:hint="eastAsia" w:ascii="仿宋" w:hAnsi="仿宋" w:eastAsia="仿宋" w:cs="宋体"/>
          <w:color w:val="000000"/>
          <w:kern w:val="0"/>
          <w:sz w:val="32"/>
          <w:szCs w:val="32"/>
        </w:rPr>
        <w:t>一致认可和</w:t>
      </w:r>
      <w:r>
        <w:rPr>
          <w:rFonts w:ascii="仿宋" w:hAnsi="仿宋" w:eastAsia="仿宋" w:cs="宋体"/>
          <w:color w:val="000000"/>
          <w:kern w:val="0"/>
          <w:sz w:val="32"/>
          <w:szCs w:val="32"/>
        </w:rPr>
        <w:t>广泛好评。</w:t>
      </w:r>
      <w:r>
        <w:rPr>
          <w:rFonts w:hint="eastAsia" w:ascii="仿宋" w:hAnsi="仿宋" w:eastAsia="仿宋" w:cs="宋体"/>
          <w:color w:val="000000"/>
          <w:kern w:val="0"/>
          <w:sz w:val="32"/>
          <w:szCs w:val="32"/>
        </w:rPr>
        <w:t>另一方面，不断下沉服务，开展贴身帮扶。今年以来，“政企服务站”共服务楼宇入驻企业600余家，“一对一”为楼宇项目及企业开展招商引资、产业集聚、周边交通优化等定制服务200余次，解决企业续签、办公选址、企业标识展示等难题300余个。</w:t>
      </w:r>
    </w:p>
    <w:p>
      <w:pPr>
        <w:widowControl/>
        <w:adjustRightInd w:val="0"/>
        <w:snapToGrid w:val="0"/>
        <w:spacing w:line="580" w:lineRule="atLeast"/>
        <w:ind w:firstLine="640" w:firstLineChars="2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4、“楼宇宣传”立标杆。2021年新冠疫情反复，我中心主动作为、转变服务思路，重点开展楼宇线上宣传。通过拍摄制作政企服务站短视频、楼宇企业白领日常VLOG、抗疫标语创意海报等，借力新媒体，不断探索更新鲜活泼、更具传播力和影响力的宣传方式，让企业看到开福区委、区政府与楼宇项目同心协力、共抗疫情，为楼宇发展保驾护航，也让楼宇企业坚定信心、安心发展。同时，升级迭代开福区楼宇招商手册，扩充内容版块，助力招商引资。</w:t>
      </w:r>
    </w:p>
    <w:p>
      <w:pPr>
        <w:spacing w:line="560" w:lineRule="exact"/>
        <w:ind w:firstLine="640" w:firstLineChars="200"/>
        <w:rPr>
          <w:rFonts w:eastAsia="黑体"/>
          <w:sz w:val="32"/>
          <w:szCs w:val="32"/>
        </w:rPr>
      </w:pPr>
      <w:r>
        <w:rPr>
          <w:rFonts w:eastAsia="黑体"/>
          <w:sz w:val="32"/>
          <w:szCs w:val="32"/>
        </w:rPr>
        <w:t>四、存在的问题</w:t>
      </w:r>
    </w:p>
    <w:p>
      <w:pPr>
        <w:spacing w:line="600" w:lineRule="exact"/>
        <w:ind w:firstLine="640" w:firstLineChars="200"/>
        <w:rPr>
          <w:rFonts w:ascii="仿宋" w:hAnsi="仿宋" w:eastAsia="仿宋"/>
          <w:sz w:val="32"/>
          <w:szCs w:val="32"/>
        </w:rPr>
      </w:pPr>
      <w:r>
        <w:rPr>
          <w:rFonts w:hint="eastAsia" w:ascii="仿宋" w:hAnsi="仿宋" w:eastAsia="仿宋" w:cs="Times New Roman"/>
          <w:sz w:val="32"/>
          <w:szCs w:val="32"/>
        </w:rPr>
        <w:t>1、部分项目管理不够规范。</w:t>
      </w:r>
      <w:r>
        <w:rPr>
          <w:rFonts w:hint="eastAsia" w:ascii="仿宋" w:hAnsi="仿宋" w:eastAsia="仿宋"/>
          <w:sz w:val="32"/>
          <w:szCs w:val="32"/>
        </w:rPr>
        <w:t>一是部分项目存在前期准备资料欠缺的情况，因有的项目时间紧、任务重，无法及时备齐资料，有的项目小，虑到成本效益原则，在实际操作中很难备齐全套资料；二是</w:t>
      </w:r>
      <w:r>
        <w:rPr>
          <w:rFonts w:hint="eastAsia" w:ascii="仿宋" w:hAnsi="仿宋" w:eastAsia="仿宋" w:cs="仿宋_GB2312"/>
          <w:sz w:val="32"/>
          <w:szCs w:val="32"/>
        </w:rPr>
        <w:t>部分项目绩效产出效益指标不够细化明晰</w:t>
      </w:r>
      <w:r>
        <w:rPr>
          <w:rFonts w:hint="eastAsia" w:ascii="仿宋" w:hAnsi="仿宋" w:eastAsia="仿宋"/>
          <w:sz w:val="32"/>
          <w:szCs w:val="32"/>
        </w:rPr>
        <w:t>。三是项目台账不够规范完整。</w:t>
      </w:r>
    </w:p>
    <w:p>
      <w:pPr>
        <w:spacing w:line="600" w:lineRule="exact"/>
        <w:ind w:firstLine="640" w:firstLineChars="200"/>
        <w:rPr>
          <w:rFonts w:ascii="仿宋" w:hAnsi="仿宋" w:eastAsia="仿宋"/>
          <w:sz w:val="32"/>
          <w:szCs w:val="32"/>
        </w:rPr>
      </w:pPr>
      <w:r>
        <w:rPr>
          <w:rFonts w:hint="eastAsia" w:ascii="仿宋" w:hAnsi="仿宋" w:eastAsia="仿宋" w:cs="Times New Roman"/>
          <w:sz w:val="32"/>
          <w:szCs w:val="32"/>
        </w:rPr>
        <w:t xml:space="preserve"> 2、项目资金未实行专账核算。由于</w:t>
      </w:r>
      <w:r>
        <w:rPr>
          <w:rFonts w:hint="eastAsia" w:ascii="仿宋" w:hAnsi="仿宋" w:eastAsia="仿宋"/>
          <w:sz w:val="32"/>
          <w:szCs w:val="32"/>
        </w:rPr>
        <w:t>未按项目进行专账核算，导致各项目资金使用情况不能一目了然。</w:t>
      </w:r>
    </w:p>
    <w:p>
      <w:pPr>
        <w:spacing w:line="560" w:lineRule="exact"/>
        <w:ind w:firstLine="640" w:firstLineChars="200"/>
        <w:rPr>
          <w:rFonts w:eastAsia="黑体"/>
          <w:sz w:val="32"/>
          <w:szCs w:val="32"/>
        </w:rPr>
      </w:pPr>
      <w:r>
        <w:rPr>
          <w:rFonts w:eastAsia="黑体"/>
          <w:sz w:val="32"/>
          <w:szCs w:val="32"/>
        </w:rPr>
        <w:t>五、有关建议</w:t>
      </w:r>
    </w:p>
    <w:p>
      <w:pPr>
        <w:spacing w:line="6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1、规范项目管理</w:t>
      </w:r>
    </w:p>
    <w:p>
      <w:pPr>
        <w:spacing w:line="600" w:lineRule="exac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rPr>
        <w:t>为进一步规范项目管理，一是进一步完善项目管理规章制度，监督制度执行情况，确保有章可依，有章必依；二是进一步细化各项目的绩效指标，以反映和考核项目绩效目标的明细化情况。三是进一步提高项目资金使用效益。从项目立项到项目监督，让专业人的做专业的事，确保财政资金不白花，花在刀刃上，</w:t>
      </w:r>
      <w:r>
        <w:rPr>
          <w:rFonts w:ascii="仿宋" w:hAnsi="仿宋" w:eastAsia="仿宋" w:cs="仿宋"/>
          <w:spacing w:val="-7"/>
          <w:sz w:val="32"/>
          <w:szCs w:val="32"/>
          <w:lang w:bidi="zh-CN"/>
        </w:rPr>
        <w:t>从而少花钱多办事，办实事、办好事。</w:t>
      </w:r>
      <w:r>
        <w:rPr>
          <w:rFonts w:hint="eastAsia" w:ascii="仿宋" w:hAnsi="仿宋" w:eastAsia="仿宋" w:cs="仿宋_GB2312"/>
          <w:sz w:val="32"/>
          <w:szCs w:val="32"/>
        </w:rPr>
        <w:t>四是加强对项目的监理，争取一定金额以上的项目均采用社会监理服务，一定金额以下的项目由单位组织专业人员进行抽查监督。五是利用办公软件，做好各个项目的管理台账</w:t>
      </w:r>
      <w:r>
        <w:rPr>
          <w:rFonts w:hint="eastAsia" w:ascii="仿宋" w:hAnsi="仿宋" w:eastAsia="仿宋" w:cs="仿宋_GB2312"/>
          <w:sz w:val="32"/>
          <w:szCs w:val="32"/>
          <w:lang w:eastAsia="zh-CN"/>
        </w:rPr>
        <w:t>。</w:t>
      </w:r>
    </w:p>
    <w:p>
      <w:pPr>
        <w:spacing w:line="6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2、规范资金核算</w:t>
      </w:r>
    </w:p>
    <w:p>
      <w:pPr>
        <w:spacing w:line="600" w:lineRule="exact"/>
        <w:ind w:firstLine="640" w:firstLineChars="200"/>
        <w:rPr>
          <w:rFonts w:eastAsia="黑体"/>
          <w:sz w:val="32"/>
          <w:szCs w:val="32"/>
        </w:rPr>
      </w:pPr>
      <w:r>
        <w:rPr>
          <w:rFonts w:hint="eastAsia" w:ascii="仿宋" w:hAnsi="仿宋" w:eastAsia="仿宋" w:cs="仿宋_GB2312"/>
          <w:sz w:val="32"/>
          <w:szCs w:val="32"/>
        </w:rPr>
        <w:t>为提高工作效率和核算准确性，财务应尽量利用财务核算软件功能，实行项目专账核算，确保项目支出清晰完整。</w:t>
      </w:r>
    </w:p>
    <w:p>
      <w:pPr>
        <w:numPr>
          <w:ilvl w:val="0"/>
          <w:numId w:val="0"/>
        </w:numPr>
        <w:spacing w:line="560" w:lineRule="exact"/>
        <w:ind w:left="645" w:leftChars="0"/>
        <w:rPr>
          <w:rFonts w:eastAsia="黑体"/>
          <w:sz w:val="32"/>
          <w:szCs w:val="32"/>
        </w:rPr>
      </w:pPr>
      <w:r>
        <w:rPr>
          <w:rFonts w:hint="eastAsia" w:eastAsia="黑体"/>
          <w:sz w:val="32"/>
          <w:szCs w:val="32"/>
          <w:lang w:val="en-US" w:eastAsia="zh-CN"/>
        </w:rPr>
        <w:t>六、</w:t>
      </w:r>
      <w:r>
        <w:rPr>
          <w:rFonts w:eastAsia="黑体"/>
          <w:sz w:val="32"/>
          <w:szCs w:val="32"/>
        </w:rPr>
        <w:t>其他需要说明的问题</w:t>
      </w:r>
    </w:p>
    <w:p>
      <w:pPr>
        <w:spacing w:line="60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无</w:t>
      </w:r>
    </w:p>
    <w:p>
      <w:pPr>
        <w:jc w:val="center"/>
        <w:rPr>
          <w:rFonts w:ascii="微软雅黑" w:hAnsi="微软雅黑" w:eastAsia="微软雅黑" w:cs="微软雅黑"/>
          <w:i w:val="0"/>
          <w:iCs w:val="0"/>
          <w:caps w:val="0"/>
          <w:color w:val="000000"/>
          <w:spacing w:val="0"/>
          <w:sz w:val="27"/>
          <w:szCs w:val="27"/>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8206AD"/>
    <w:multiLevelType w:val="multilevel"/>
    <w:tmpl w:val="318206AD"/>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35E1675A"/>
    <w:rsid w:val="0D6A4AFC"/>
    <w:rsid w:val="29D84B76"/>
    <w:rsid w:val="30DF3900"/>
    <w:rsid w:val="35E16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next w:val="2"/>
    <w:unhideWhenUsed/>
    <w:qFormat/>
    <w:uiPriority w:val="99"/>
    <w:pPr>
      <w:spacing w:after="120"/>
    </w:p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2022-09-15T02:30:00Z</dcterms:created>
  <dc:creator>鱼仔</dc:creator>
  <cp:lastModifiedBy>鱼仔</cp:lastModifiedBy>
  <dcterms:modified xsi:type="dcterms:W3CDTF">2022-09-15T07:06:24Z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95CCACDDF33F49D484EBF8C6856B59E2</vt:lpwstr>
  </property>
</Properties>
</file>