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spacing w:line="600" w:lineRule="exact"/>
        <w:ind w:firstLine="960" w:firstLineChars="200"/>
        <w:jc w:val="center"/>
        <w:textAlignment w:val="auto"/>
        <w:rPr>
          <w:rFonts w:hint="eastAsia" w:ascii="黑体" w:hAnsi="黑体" w:eastAsia="黑体" w:cs="黑体"/>
          <w:bCs/>
          <w:color w:val="auto"/>
          <w:kern w:val="0"/>
          <w:sz w:val="48"/>
          <w:szCs w:val="48"/>
          <w:lang w:val="en-US" w:eastAsia="zh-CN"/>
        </w:rPr>
      </w:pPr>
      <w:r>
        <w:rPr>
          <w:rFonts w:hint="eastAsia" w:ascii="黑体" w:hAnsi="黑体" w:eastAsia="黑体" w:cs="黑体"/>
          <w:bCs/>
          <w:color w:val="auto"/>
          <w:kern w:val="0"/>
          <w:sz w:val="48"/>
          <w:szCs w:val="48"/>
          <w:lang w:val="en-US" w:eastAsia="zh-CN"/>
        </w:rPr>
        <w:t>2020年度长沙市开福区商务局</w:t>
      </w:r>
    </w:p>
    <w:p>
      <w:pPr>
        <w:keepNext w:val="0"/>
        <w:keepLines w:val="0"/>
        <w:pageBreakBefore w:val="0"/>
        <w:widowControl/>
        <w:kinsoku/>
        <w:wordWrap/>
        <w:overflowPunct/>
        <w:topLinePunct w:val="0"/>
        <w:bidi w:val="0"/>
        <w:snapToGrid/>
        <w:spacing w:line="600" w:lineRule="exact"/>
        <w:ind w:firstLine="960" w:firstLineChars="200"/>
        <w:jc w:val="center"/>
        <w:textAlignment w:val="auto"/>
        <w:rPr>
          <w:rFonts w:hint="eastAsia" w:ascii="黑体" w:hAnsi="黑体" w:eastAsia="黑体" w:cs="黑体"/>
          <w:bCs/>
          <w:color w:val="auto"/>
          <w:kern w:val="0"/>
          <w:sz w:val="48"/>
          <w:szCs w:val="48"/>
          <w:lang w:val="en-US" w:eastAsia="zh-CN"/>
        </w:rPr>
      </w:pPr>
      <w:r>
        <w:rPr>
          <w:rFonts w:hint="eastAsia" w:ascii="黑体" w:hAnsi="黑体" w:eastAsia="黑体" w:cs="黑体"/>
          <w:bCs/>
          <w:color w:val="auto"/>
          <w:kern w:val="0"/>
          <w:sz w:val="48"/>
          <w:szCs w:val="48"/>
          <w:lang w:val="en-US" w:eastAsia="zh-CN"/>
        </w:rPr>
        <w:t>部门决算</w:t>
      </w:r>
    </w:p>
    <w:p>
      <w:pPr>
        <w:keepNext w:val="0"/>
        <w:keepLines w:val="0"/>
        <w:pageBreakBefore w:val="0"/>
        <w:widowControl/>
        <w:kinsoku/>
        <w:wordWrap/>
        <w:overflowPunct/>
        <w:topLinePunct w:val="0"/>
        <w:bidi w:val="0"/>
        <w:snapToGrid/>
        <w:spacing w:line="600" w:lineRule="exact"/>
        <w:ind w:firstLine="640" w:firstLineChars="200"/>
        <w:jc w:val="center"/>
        <w:textAlignment w:val="auto"/>
        <w:rPr>
          <w:rFonts w:hint="eastAsia" w:ascii="Times New Roman" w:hAnsi="Times New Roman" w:eastAsia="黑体" w:cs="Times New Roman"/>
          <w:bCs/>
          <w:color w:val="auto"/>
          <w:kern w:val="0"/>
          <w:sz w:val="32"/>
          <w:szCs w:val="32"/>
          <w:lang w:val="en-US" w:eastAsia="zh-CN"/>
        </w:rPr>
      </w:pPr>
    </w:p>
    <w:p>
      <w:pPr>
        <w:keepNext w:val="0"/>
        <w:keepLines w:val="0"/>
        <w:pageBreakBefore w:val="0"/>
        <w:widowControl/>
        <w:kinsoku/>
        <w:wordWrap/>
        <w:overflowPunct/>
        <w:topLinePunct w:val="0"/>
        <w:bidi w:val="0"/>
        <w:snapToGrid/>
        <w:spacing w:line="600" w:lineRule="exact"/>
        <w:ind w:firstLine="640" w:firstLineChars="200"/>
        <w:jc w:val="center"/>
        <w:textAlignment w:val="auto"/>
        <w:rPr>
          <w:rFonts w:hint="eastAsia" w:ascii="Times New Roman" w:hAnsi="Times New Roman" w:eastAsia="黑体" w:cs="Times New Roman"/>
          <w:bCs/>
          <w:color w:val="auto"/>
          <w:kern w:val="0"/>
          <w:sz w:val="32"/>
          <w:szCs w:val="32"/>
          <w:lang w:val="en-US" w:eastAsia="zh-CN"/>
        </w:rPr>
      </w:pPr>
      <w:r>
        <w:rPr>
          <w:rFonts w:hint="eastAsia" w:ascii="Times New Roman" w:hAnsi="Times New Roman" w:eastAsia="黑体" w:cs="Times New Roman"/>
          <w:bCs/>
          <w:color w:val="auto"/>
          <w:kern w:val="0"/>
          <w:sz w:val="32"/>
          <w:szCs w:val="32"/>
          <w:lang w:val="en-US" w:eastAsia="zh-CN"/>
        </w:rPr>
        <w:t>目　录</w:t>
      </w:r>
    </w:p>
    <w:p>
      <w:pPr>
        <w:keepNext w:val="0"/>
        <w:keepLines w:val="0"/>
        <w:pageBreakBefore w:val="0"/>
        <w:widowControl/>
        <w:kinsoku/>
        <w:wordWrap/>
        <w:overflowPunct/>
        <w:topLinePunct w:val="0"/>
        <w:bidi w:val="0"/>
        <w:snapToGrid/>
        <w:spacing w:line="600" w:lineRule="exact"/>
        <w:textAlignment w:val="auto"/>
        <w:rPr>
          <w:rFonts w:hint="eastAsia" w:ascii="黑体" w:hAnsi="黑体" w:eastAsia="黑体" w:cs="黑体"/>
          <w:b/>
          <w:bCs/>
          <w:color w:val="auto"/>
          <w:kern w:val="0"/>
          <w:sz w:val="32"/>
          <w:szCs w:val="32"/>
          <w:lang w:val="en-US" w:eastAsia="zh-CN"/>
        </w:rPr>
      </w:pPr>
      <w:r>
        <w:rPr>
          <w:rFonts w:hint="eastAsia" w:ascii="黑体" w:hAnsi="黑体" w:eastAsia="黑体" w:cs="黑体"/>
          <w:b/>
          <w:bCs/>
          <w:color w:val="auto"/>
          <w:kern w:val="0"/>
          <w:sz w:val="32"/>
          <w:szCs w:val="32"/>
          <w:lang w:val="en-US" w:eastAsia="zh-CN"/>
        </w:rPr>
        <w:t>第一部分　长沙市开福区商务局部门概况</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一、部门职责</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二、机构设置</w:t>
      </w: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第二部分 部门决算表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一、收入支出决算总表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二、收入决算表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三、支出决算表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四、财政拨款收入支出决算总表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五、一般公共预算财政拨款支出决算表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六、一般公共预算财政拨款基本支出决算表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七、一般公共预算财政拨款“三公”经费支出决算表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八、政府性基金预算财政拨款收入支出决算表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rPr>
        <w:t>九</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rPr>
        <w:t>国有资本经营预算财政拨款支出决算表</w:t>
      </w:r>
    </w:p>
    <w:p>
      <w:pPr>
        <w:keepNext w:val="0"/>
        <w:keepLines w:val="0"/>
        <w:pageBreakBefore w:val="0"/>
        <w:widowControl/>
        <w:kinsoku/>
        <w:wordWrap/>
        <w:overflowPunct/>
        <w:topLinePunct w:val="0"/>
        <w:bidi w:val="0"/>
        <w:snapToGrid/>
        <w:spacing w:line="600" w:lineRule="exact"/>
        <w:jc w:val="left"/>
        <w:textAlignment w:val="auto"/>
        <w:rPr>
          <w:rFonts w:eastAsia="仿宋_GB2312"/>
          <w:b/>
          <w:bCs/>
          <w:color w:val="auto"/>
          <w:kern w:val="0"/>
          <w:sz w:val="32"/>
          <w:szCs w:val="32"/>
        </w:rPr>
      </w:pPr>
      <w:r>
        <w:rPr>
          <w:rFonts w:hint="eastAsia" w:ascii="黑体" w:hAnsi="黑体" w:eastAsia="黑体" w:cs="黑体"/>
          <w:b/>
          <w:bCs/>
          <w:color w:val="auto"/>
          <w:kern w:val="0"/>
          <w:sz w:val="32"/>
          <w:szCs w:val="32"/>
        </w:rPr>
        <w:t xml:space="preserve">第三部分 </w:t>
      </w:r>
      <w:r>
        <w:rPr>
          <w:rFonts w:hint="eastAsia" w:ascii="黑体" w:hAnsi="黑体" w:eastAsia="黑体" w:cs="黑体"/>
          <w:b/>
          <w:bCs/>
          <w:color w:val="auto"/>
          <w:kern w:val="0"/>
          <w:sz w:val="32"/>
          <w:szCs w:val="32"/>
          <w:lang w:val="en-US" w:eastAsia="zh-CN"/>
        </w:rPr>
        <w:t>2020</w:t>
      </w:r>
      <w:r>
        <w:rPr>
          <w:rFonts w:hint="eastAsia" w:ascii="黑体" w:hAnsi="黑体" w:eastAsia="黑体" w:cs="黑体"/>
          <w:b/>
          <w:bCs/>
          <w:color w:val="auto"/>
          <w:kern w:val="0"/>
          <w:sz w:val="32"/>
          <w:szCs w:val="32"/>
        </w:rPr>
        <w:t>年度部门决算情况说明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一、收入支出决算总体情况说明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二、收入决算情况说明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三、支出决算情况说明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四、财政拨款收入支出决算总体情况说明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五、一般公共预算财政拨款支出决算情况说明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六、一般公共预算财政拨款基本支出决算情况说明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七、一般公共预算财政拨款三公经费支出决算情况说明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八、政府性基金预算收入支出决算情况</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九、关于2020年度预算绩效情况的说明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十、</w:t>
      </w:r>
      <w:r>
        <w:rPr>
          <w:rFonts w:hint="eastAsia" w:ascii="仿宋" w:hAnsi="仿宋" w:eastAsia="仿宋" w:cs="仿宋"/>
          <w:color w:val="auto"/>
          <w:kern w:val="0"/>
          <w:sz w:val="32"/>
          <w:szCs w:val="32"/>
        </w:rPr>
        <w:t>其他重要事项情况说明</w:t>
      </w: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第四部分 名词解释</w:t>
      </w: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第五部分 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p>
    <w:p>
      <w:pPr>
        <w:keepNext w:val="0"/>
        <w:keepLines w:val="0"/>
        <w:pageBreakBefore w:val="0"/>
        <w:widowControl/>
        <w:kinsoku/>
        <w:wordWrap/>
        <w:overflowPunct/>
        <w:topLinePunct w:val="0"/>
        <w:bidi w:val="0"/>
        <w:snapToGrid/>
        <w:spacing w:line="600" w:lineRule="exact"/>
        <w:ind w:firstLine="883" w:firstLineChars="200"/>
        <w:jc w:val="center"/>
        <w:textAlignment w:val="auto"/>
        <w:rPr>
          <w:rFonts w:hint="eastAsia" w:ascii="黑体" w:hAnsi="黑体" w:eastAsia="黑体" w:cs="黑体"/>
          <w:b/>
          <w:bCs w:val="0"/>
          <w:color w:val="auto"/>
          <w:kern w:val="0"/>
          <w:sz w:val="44"/>
          <w:szCs w:val="44"/>
          <w:lang w:val="en-US" w:eastAsia="zh-CN"/>
        </w:rPr>
      </w:pPr>
      <w:r>
        <w:rPr>
          <w:rFonts w:hint="eastAsia" w:ascii="黑体" w:hAnsi="黑体" w:eastAsia="黑体" w:cs="黑体"/>
          <w:b/>
          <w:bCs w:val="0"/>
          <w:color w:val="auto"/>
          <w:kern w:val="0"/>
          <w:sz w:val="44"/>
          <w:szCs w:val="44"/>
          <w:lang w:val="en-US" w:eastAsia="zh-CN"/>
        </w:rPr>
        <w:t>第一部分　长沙市开福区商务局概况</w:t>
      </w: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ascii="仿宋" w:hAnsi="仿宋" w:eastAsia="仿宋" w:cs="仿宋"/>
          <w:b/>
          <w:bCs w:val="0"/>
          <w:color w:val="auto"/>
          <w:kern w:val="0"/>
          <w:sz w:val="32"/>
          <w:szCs w:val="32"/>
        </w:rPr>
      </w:pPr>
      <w:r>
        <w:rPr>
          <w:rFonts w:hint="eastAsia" w:ascii="黑体" w:hAnsi="黑体" w:eastAsia="黑体" w:cs="黑体"/>
          <w:b w:val="0"/>
          <w:bCs/>
          <w:color w:val="auto"/>
          <w:kern w:val="0"/>
          <w:sz w:val="32"/>
          <w:szCs w:val="32"/>
        </w:rPr>
        <w:t>一、部门职责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1、贯彻落实国家、省、市有关内外贸易、国际经济合作、招商引资的发展战略、方针、政策；参与拟订全区内外贸易、国际经济合作、招商引资的发展战略、中长期发展规划、规定、办法和措施。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2、负责组织、指导、协调全区招商引资工作和产业项目建设，建立招商引资项目库，统一对外发布招商项目，协调解决各类客商投资项目的有关问题，策划、组织、参与各类招商引资活动；负责管理和协调全区境内外投资联络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3、负责全区商务系统统计及其信息发布，提供信息咨询服务；指导全区流通领域信息网络和电子商务建设。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4、指导全区外商投资工作，督促外商投资企业的资金到位；负责对区内外商投资企业的全程服务工作。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5、研究和拟定全区商业发展规划、流通体制改革意见和商业网点布局规划；做好全区市场体系和商业网点的规划、建设、管理和协调工作。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6、培育发展城乡市场，推进流通产业结构调整，指导流通行业管理工作；指导全区各类商贸行业协会、学会等社团组织工作；做好全区商贸流通企业服务工作。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7、分析我区外贸企业进出口状况，拟定和执行全区外贸进出口中长期规划和发展战略；会同有关部门呈报企业的进出口经营权；负责组织区内外贸企业参与国际性外贸促销活动；负责做好全区承接产业转移、发展加工贸易的相关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8、负责全区对外经济技术合作工作，贯彻执行国家、省、市对外承包工程、劳务合作的政策、规章和管理办法，协管全区外协相关业务，审核呈报有关外协的相关手续。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9、依法行使法律法规赋予的(区)县级人民政府商务部门的其他行政执法职能。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10、承办区委、区政府和上级主管部门交办的其他事项。</w:t>
      </w: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二、机构设置及决算单位构成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bCs w:val="0"/>
          <w:color w:val="auto"/>
          <w:kern w:val="0"/>
          <w:sz w:val="32"/>
          <w:szCs w:val="32"/>
        </w:rPr>
        <w:t>（一）内设机构设置。</w:t>
      </w:r>
      <w:r>
        <w:rPr>
          <w:rFonts w:hint="eastAsia" w:ascii="仿宋" w:hAnsi="仿宋" w:eastAsia="仿宋" w:cs="仿宋"/>
          <w:b w:val="0"/>
          <w:bCs w:val="0"/>
          <w:color w:val="auto"/>
          <w:kern w:val="0"/>
          <w:sz w:val="32"/>
          <w:szCs w:val="32"/>
          <w:lang w:val="en-US" w:eastAsia="zh-CN" w:bidi="ar-SA"/>
        </w:rPr>
        <w:t>本部门由1个行政单位及1个二级机构组成。长沙市开福区商务局内设机构包括：办公室、招商项目科、商贸服务科（行政审批和政务服务科）。二级机构包括：长沙市开福区投资促进中心。人员情况：本部门编制数11人，在职人数14人，其中：在岗人数14人；编外长期聘用人员7人；离退休人数11人，其中离休人员0人，退休人员11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bCs/>
          <w:color w:val="auto"/>
          <w:kern w:val="0"/>
          <w:sz w:val="32"/>
          <w:szCs w:val="32"/>
        </w:rPr>
        <w:t>（二）决算单位构成。</w:t>
      </w:r>
      <w:r>
        <w:rPr>
          <w:rFonts w:hint="eastAsia" w:ascii="仿宋" w:hAnsi="仿宋" w:eastAsia="仿宋" w:cs="仿宋"/>
          <w:b w:val="0"/>
          <w:bCs w:val="0"/>
          <w:color w:val="auto"/>
          <w:kern w:val="0"/>
          <w:sz w:val="32"/>
          <w:szCs w:val="32"/>
          <w:lang w:val="en-US" w:eastAsia="zh-CN" w:bidi="ar-SA"/>
        </w:rPr>
        <w:t>长沙市开福区商务局2020年部门决算汇总公开单位构成包括：长沙市开福区商务局本级。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p>
    <w:p>
      <w:pPr>
        <w:pStyle w:val="6"/>
        <w:keepNext w:val="0"/>
        <w:keepLines w:val="0"/>
        <w:pageBreakBefore w:val="0"/>
        <w:kinsoku/>
        <w:wordWrap/>
        <w:overflowPunct/>
        <w:topLinePunct w:val="0"/>
        <w:bidi w:val="0"/>
        <w:snapToGrid/>
        <w:spacing w:line="600" w:lineRule="exact"/>
        <w:ind w:firstLine="883" w:firstLineChars="200"/>
        <w:jc w:val="center"/>
        <w:textAlignment w:val="auto"/>
        <w:rPr>
          <w:rFonts w:hint="eastAsia"/>
          <w:color w:val="auto"/>
          <w:sz w:val="84"/>
          <w:szCs w:val="84"/>
        </w:rPr>
      </w:pPr>
      <w:r>
        <w:rPr>
          <w:rFonts w:hint="eastAsia" w:ascii="黑体" w:hAnsi="黑体" w:eastAsia="黑体" w:cs="黑体"/>
          <w:b/>
          <w:bCs/>
          <w:color w:val="auto"/>
          <w:sz w:val="44"/>
          <w:szCs w:val="44"/>
        </w:rPr>
        <w:t>第二部分</w:t>
      </w:r>
      <w:r>
        <w:rPr>
          <w:rFonts w:hint="eastAsia" w:hAnsi="黑体" w:cs="黑体"/>
          <w:b/>
          <w:bCs/>
          <w:color w:val="auto"/>
          <w:sz w:val="44"/>
          <w:szCs w:val="44"/>
          <w:lang w:val="en-US" w:eastAsia="zh-CN"/>
        </w:rPr>
        <w:t xml:space="preserve"> </w:t>
      </w:r>
      <w:r>
        <w:rPr>
          <w:rFonts w:hint="eastAsia" w:ascii="黑体" w:hAnsi="黑体" w:eastAsia="黑体" w:cs="黑体"/>
          <w:b/>
          <w:bCs/>
          <w:color w:val="auto"/>
          <w:sz w:val="44"/>
          <w:szCs w:val="44"/>
        </w:rPr>
        <w:t>部门决算表</w:t>
      </w:r>
    </w:p>
    <w:p>
      <w:pPr>
        <w:pStyle w:val="6"/>
        <w:keepNext w:val="0"/>
        <w:keepLines w:val="0"/>
        <w:pageBreakBefore w:val="0"/>
        <w:numPr>
          <w:ilvl w:val="0"/>
          <w:numId w:val="0"/>
        </w:numPr>
        <w:kinsoku/>
        <w:wordWrap/>
        <w:overflowPunct/>
        <w:topLinePunct w:val="0"/>
        <w:bidi w:val="0"/>
        <w:snapToGrid/>
        <w:spacing w:line="600" w:lineRule="exact"/>
        <w:ind w:firstLine="643" w:firstLineChars="200"/>
        <w:jc w:val="center"/>
        <w:textAlignment w:val="auto"/>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详见附件</w:t>
      </w:r>
      <w:r>
        <w:rPr>
          <w:rFonts w:hint="eastAsia" w:ascii="仿宋" w:hAnsi="仿宋" w:eastAsia="仿宋" w:cs="仿宋"/>
          <w:b/>
          <w:bCs/>
          <w:color w:val="auto"/>
          <w:sz w:val="32"/>
          <w:szCs w:val="32"/>
          <w:lang w:eastAsia="zh-CN"/>
        </w:rPr>
        <w:t>）</w:t>
      </w:r>
    </w:p>
    <w:p>
      <w:pPr>
        <w:pStyle w:val="6"/>
        <w:keepNext w:val="0"/>
        <w:keepLines w:val="0"/>
        <w:pageBreakBefore w:val="0"/>
        <w:numPr>
          <w:ilvl w:val="0"/>
          <w:numId w:val="0"/>
        </w:numPr>
        <w:kinsoku/>
        <w:wordWrap/>
        <w:overflowPunct/>
        <w:topLinePunct w:val="0"/>
        <w:bidi w:val="0"/>
        <w:snapToGrid/>
        <w:spacing w:line="600" w:lineRule="exact"/>
        <w:ind w:firstLine="643" w:firstLineChars="200"/>
        <w:jc w:val="center"/>
        <w:textAlignment w:val="auto"/>
        <w:rPr>
          <w:rFonts w:hint="eastAsia" w:ascii="仿宋" w:hAnsi="仿宋" w:eastAsia="仿宋" w:cs="仿宋"/>
          <w:b/>
          <w:bCs/>
          <w:color w:val="auto"/>
          <w:sz w:val="32"/>
          <w:szCs w:val="32"/>
          <w:lang w:eastAsia="zh-CN"/>
        </w:rPr>
      </w:pPr>
    </w:p>
    <w:p>
      <w:pPr>
        <w:keepNext w:val="0"/>
        <w:keepLines w:val="0"/>
        <w:pageBreakBefore w:val="0"/>
        <w:widowControl/>
        <w:kinsoku/>
        <w:wordWrap/>
        <w:overflowPunct/>
        <w:topLinePunct w:val="0"/>
        <w:bidi w:val="0"/>
        <w:snapToGrid/>
        <w:spacing w:line="600" w:lineRule="exact"/>
        <w:ind w:firstLine="883" w:firstLineChars="200"/>
        <w:jc w:val="center"/>
        <w:textAlignment w:val="auto"/>
        <w:rPr>
          <w:rFonts w:hAnsi="黑体" w:cs="Times New Roman"/>
          <w:color w:val="auto"/>
          <w:sz w:val="32"/>
          <w:szCs w:val="32"/>
        </w:rPr>
      </w:pPr>
      <w:r>
        <w:rPr>
          <w:rFonts w:hint="eastAsia" w:ascii="黑体" w:hAnsi="黑体" w:eastAsia="黑体" w:cs="黑体"/>
          <w:b/>
          <w:bCs w:val="0"/>
          <w:color w:val="auto"/>
          <w:kern w:val="0"/>
          <w:sz w:val="44"/>
          <w:szCs w:val="44"/>
        </w:rPr>
        <w:t xml:space="preserve">第三部分 </w:t>
      </w:r>
      <w:r>
        <w:rPr>
          <w:rFonts w:hint="eastAsia" w:ascii="黑体" w:hAnsi="黑体" w:eastAsia="黑体" w:cs="黑体"/>
          <w:b/>
          <w:bCs w:val="0"/>
          <w:color w:val="auto"/>
          <w:kern w:val="0"/>
          <w:sz w:val="44"/>
          <w:szCs w:val="44"/>
          <w:lang w:val="en-US" w:eastAsia="zh-CN"/>
        </w:rPr>
        <w:t>2020</w:t>
      </w:r>
      <w:r>
        <w:rPr>
          <w:rFonts w:hint="eastAsia" w:ascii="黑体" w:hAnsi="黑体" w:eastAsia="黑体" w:cs="黑体"/>
          <w:b/>
          <w:bCs w:val="0"/>
          <w:color w:val="auto"/>
          <w:kern w:val="0"/>
          <w:sz w:val="44"/>
          <w:szCs w:val="44"/>
        </w:rPr>
        <w:t>年度部门决算情况说明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Ansi="黑体" w:cs="Times New Roman"/>
          <w:color w:val="auto"/>
          <w:sz w:val="32"/>
          <w:szCs w:val="32"/>
        </w:rPr>
      </w:pPr>
      <w:r>
        <w:rPr>
          <w:rFonts w:hAnsi="黑体" w:cs="Times New Roman"/>
          <w:color w:val="auto"/>
          <w:sz w:val="32"/>
          <w:szCs w:val="32"/>
        </w:rPr>
        <w:t>一、收入支出决算总体情况说明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2020年度总收入</w:t>
      </w:r>
      <w:r>
        <w:rPr>
          <w:rFonts w:hint="eastAsia" w:ascii="仿宋" w:hAnsi="仿宋" w:eastAsia="仿宋" w:cs="仿宋"/>
          <w:b w:val="0"/>
          <w:bCs w:val="0"/>
          <w:color w:val="auto"/>
          <w:kern w:val="0"/>
          <w:sz w:val="32"/>
          <w:szCs w:val="32"/>
          <w:lang w:val="en-US" w:eastAsia="zh-CN" w:bidi="ar-SA"/>
        </w:rPr>
        <w:t>6046.94</w:t>
      </w:r>
      <w:r>
        <w:rPr>
          <w:rFonts w:hint="eastAsia" w:ascii="仿宋" w:hAnsi="仿宋" w:eastAsia="仿宋" w:cs="仿宋"/>
          <w:b w:val="0"/>
          <w:bCs w:val="0"/>
          <w:color w:val="auto"/>
          <w:kern w:val="0"/>
          <w:sz w:val="32"/>
          <w:szCs w:val="32"/>
          <w:lang w:val="en-US" w:eastAsia="zh-CN" w:bidi="ar-SA"/>
        </w:rPr>
        <w:t>万元，与2019年相比，减少</w:t>
      </w:r>
      <w:r>
        <w:rPr>
          <w:rFonts w:hint="eastAsia" w:ascii="仿宋" w:hAnsi="仿宋" w:eastAsia="仿宋" w:cs="仿宋"/>
          <w:b w:val="0"/>
          <w:bCs w:val="0"/>
          <w:color w:val="auto"/>
          <w:kern w:val="0"/>
          <w:sz w:val="32"/>
          <w:szCs w:val="32"/>
          <w:lang w:val="en-US" w:eastAsia="zh-CN" w:bidi="ar-SA"/>
        </w:rPr>
        <w:t>287.15</w:t>
      </w:r>
      <w:r>
        <w:rPr>
          <w:rFonts w:hint="eastAsia" w:ascii="仿宋" w:hAnsi="仿宋" w:eastAsia="仿宋" w:cs="仿宋"/>
          <w:b w:val="0"/>
          <w:bCs w:val="0"/>
          <w:color w:val="auto"/>
          <w:kern w:val="0"/>
          <w:sz w:val="32"/>
          <w:szCs w:val="32"/>
          <w:lang w:val="en-US" w:eastAsia="zh-CN" w:bidi="ar-SA"/>
        </w:rPr>
        <w:t>万元，减少</w:t>
      </w:r>
      <w:r>
        <w:rPr>
          <w:rFonts w:hint="eastAsia" w:ascii="仿宋" w:hAnsi="仿宋" w:eastAsia="仿宋" w:cs="仿宋"/>
          <w:b w:val="0"/>
          <w:bCs w:val="0"/>
          <w:color w:val="auto"/>
          <w:kern w:val="0"/>
          <w:sz w:val="32"/>
          <w:szCs w:val="32"/>
          <w:lang w:val="en-US" w:eastAsia="zh-CN" w:bidi="ar-SA"/>
        </w:rPr>
        <w:t>4.53</w:t>
      </w:r>
      <w:r>
        <w:rPr>
          <w:rFonts w:hint="eastAsia" w:ascii="仿宋" w:hAnsi="仿宋" w:eastAsia="仿宋" w:cs="仿宋"/>
          <w:b w:val="0"/>
          <w:bCs w:val="0"/>
          <w:color w:val="auto"/>
          <w:kern w:val="0"/>
          <w:sz w:val="32"/>
          <w:szCs w:val="32"/>
          <w:lang w:val="en-US" w:eastAsia="zh-CN" w:bidi="ar-SA"/>
        </w:rPr>
        <w:t>%，主要是因为减少了省市资金和专项资金的收入。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2020年度总收入</w:t>
      </w:r>
      <w:r>
        <w:rPr>
          <w:rFonts w:hint="eastAsia" w:ascii="仿宋" w:hAnsi="仿宋" w:eastAsia="仿宋" w:cs="仿宋"/>
          <w:b w:val="0"/>
          <w:bCs w:val="0"/>
          <w:color w:val="auto"/>
          <w:kern w:val="0"/>
          <w:sz w:val="32"/>
          <w:szCs w:val="32"/>
          <w:lang w:val="en-US" w:eastAsia="zh-CN" w:bidi="ar-SA"/>
        </w:rPr>
        <w:t>6046.94</w:t>
      </w:r>
      <w:r>
        <w:rPr>
          <w:rFonts w:hint="eastAsia" w:ascii="仿宋" w:hAnsi="仿宋" w:eastAsia="仿宋" w:cs="仿宋"/>
          <w:b w:val="0"/>
          <w:bCs w:val="0"/>
          <w:color w:val="auto"/>
          <w:kern w:val="0"/>
          <w:sz w:val="32"/>
          <w:szCs w:val="32"/>
          <w:lang w:val="en-US" w:eastAsia="zh-CN" w:bidi="ar-SA"/>
        </w:rPr>
        <w:t>万元，与2019年相比，减少</w:t>
      </w:r>
      <w:r>
        <w:rPr>
          <w:rFonts w:hint="eastAsia" w:ascii="仿宋" w:hAnsi="仿宋" w:eastAsia="仿宋" w:cs="仿宋"/>
          <w:b w:val="0"/>
          <w:bCs w:val="0"/>
          <w:color w:val="auto"/>
          <w:kern w:val="0"/>
          <w:sz w:val="32"/>
          <w:szCs w:val="32"/>
          <w:lang w:val="en-US" w:eastAsia="zh-CN" w:bidi="ar-SA"/>
        </w:rPr>
        <w:t>287.15</w:t>
      </w:r>
      <w:r>
        <w:rPr>
          <w:rFonts w:hint="eastAsia" w:ascii="仿宋" w:hAnsi="仿宋" w:eastAsia="仿宋" w:cs="仿宋"/>
          <w:b w:val="0"/>
          <w:bCs w:val="0"/>
          <w:color w:val="auto"/>
          <w:kern w:val="0"/>
          <w:sz w:val="32"/>
          <w:szCs w:val="32"/>
          <w:lang w:val="en-US" w:eastAsia="zh-CN" w:bidi="ar-SA"/>
        </w:rPr>
        <w:t>万元，减少</w:t>
      </w:r>
      <w:r>
        <w:rPr>
          <w:rFonts w:hint="eastAsia" w:ascii="仿宋" w:hAnsi="仿宋" w:eastAsia="仿宋" w:cs="仿宋"/>
          <w:b w:val="0"/>
          <w:bCs w:val="0"/>
          <w:color w:val="auto"/>
          <w:kern w:val="0"/>
          <w:sz w:val="32"/>
          <w:szCs w:val="32"/>
          <w:lang w:val="en-US" w:eastAsia="zh-CN" w:bidi="ar-SA"/>
        </w:rPr>
        <w:t>4.53</w:t>
      </w:r>
      <w:r>
        <w:rPr>
          <w:rFonts w:hint="eastAsia" w:ascii="仿宋" w:hAnsi="仿宋" w:eastAsia="仿宋" w:cs="仿宋"/>
          <w:b w:val="0"/>
          <w:bCs w:val="0"/>
          <w:color w:val="auto"/>
          <w:kern w:val="0"/>
          <w:sz w:val="32"/>
          <w:szCs w:val="32"/>
          <w:lang w:val="en-US" w:eastAsia="zh-CN" w:bidi="ar-SA"/>
        </w:rPr>
        <w:t>%，主要是因为减少了省市资金和专项资</w:t>
      </w:r>
      <w:bookmarkStart w:id="0" w:name="_GoBack"/>
      <w:bookmarkEnd w:id="0"/>
      <w:r>
        <w:rPr>
          <w:rFonts w:hint="eastAsia" w:ascii="仿宋" w:hAnsi="仿宋" w:eastAsia="仿宋" w:cs="仿宋"/>
          <w:b w:val="0"/>
          <w:bCs w:val="0"/>
          <w:color w:val="auto"/>
          <w:kern w:val="0"/>
          <w:sz w:val="32"/>
          <w:szCs w:val="32"/>
          <w:lang w:val="en-US" w:eastAsia="zh-CN" w:bidi="ar-SA"/>
        </w:rPr>
        <w:t>金的支出。</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二、收入决算情况说明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本年收入合计4732.44万元，其中：财政拨款收入4732.44万元，占100%；上级补助收入0万元，占0%；事业收入0万元，占0%；经营收入0万元，占0%；附属单位上缴收入0万元，占0%；其他收入0万元，占0%。</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三、支出决算情况说明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本年支出合计4083.58万元，其中：基本支出511.05万元，占12.51%；项目支出3,572.53万元，占87.49%。上缴上级支出0万元，占0%；经营支出0万元，占0%；对附属单位补助支出0万元，占0%。</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四、财政拨款收入支出决算总体情况说明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2020年度财政拨款收入总计</w:t>
      </w:r>
      <w:r>
        <w:rPr>
          <w:rFonts w:hint="eastAsia" w:ascii="仿宋" w:hAnsi="仿宋" w:eastAsia="仿宋" w:cs="仿宋"/>
          <w:b w:val="0"/>
          <w:bCs w:val="0"/>
          <w:color w:val="auto"/>
          <w:kern w:val="0"/>
          <w:sz w:val="32"/>
          <w:szCs w:val="32"/>
          <w:lang w:val="en-US" w:eastAsia="zh-CN" w:bidi="ar-SA"/>
        </w:rPr>
        <w:t>6046.94</w:t>
      </w:r>
      <w:r>
        <w:rPr>
          <w:rFonts w:hint="eastAsia" w:ascii="仿宋" w:hAnsi="仿宋" w:eastAsia="仿宋" w:cs="仿宋"/>
          <w:b w:val="0"/>
          <w:bCs w:val="0"/>
          <w:color w:val="auto"/>
          <w:kern w:val="0"/>
          <w:sz w:val="32"/>
          <w:szCs w:val="32"/>
          <w:lang w:val="en-US" w:eastAsia="zh-CN" w:bidi="ar-SA"/>
        </w:rPr>
        <w:t>万元，与2019年相比，减少</w:t>
      </w:r>
      <w:r>
        <w:rPr>
          <w:rFonts w:hint="eastAsia" w:ascii="仿宋" w:hAnsi="仿宋" w:eastAsia="仿宋" w:cs="仿宋"/>
          <w:b w:val="0"/>
          <w:bCs w:val="0"/>
          <w:color w:val="auto"/>
          <w:kern w:val="0"/>
          <w:sz w:val="32"/>
          <w:szCs w:val="32"/>
          <w:lang w:val="en-US" w:eastAsia="zh-CN" w:bidi="ar-SA"/>
        </w:rPr>
        <w:t>287.15</w:t>
      </w:r>
      <w:r>
        <w:rPr>
          <w:rFonts w:hint="eastAsia" w:ascii="仿宋" w:hAnsi="仿宋" w:eastAsia="仿宋" w:cs="仿宋"/>
          <w:b w:val="0"/>
          <w:bCs w:val="0"/>
          <w:color w:val="auto"/>
          <w:kern w:val="0"/>
          <w:sz w:val="32"/>
          <w:szCs w:val="32"/>
          <w:lang w:val="en-US" w:eastAsia="zh-CN" w:bidi="ar-SA"/>
        </w:rPr>
        <w:t>万元，减少</w:t>
      </w:r>
      <w:r>
        <w:rPr>
          <w:rFonts w:hint="eastAsia" w:ascii="仿宋" w:hAnsi="仿宋" w:eastAsia="仿宋" w:cs="仿宋"/>
          <w:b w:val="0"/>
          <w:bCs w:val="0"/>
          <w:color w:val="auto"/>
          <w:kern w:val="0"/>
          <w:sz w:val="32"/>
          <w:szCs w:val="32"/>
          <w:lang w:val="en-US" w:eastAsia="zh-CN" w:bidi="ar-SA"/>
        </w:rPr>
        <w:t>4.53</w:t>
      </w:r>
      <w:r>
        <w:rPr>
          <w:rFonts w:hint="eastAsia" w:ascii="仿宋" w:hAnsi="仿宋" w:eastAsia="仿宋" w:cs="仿宋"/>
          <w:b w:val="0"/>
          <w:bCs w:val="0"/>
          <w:color w:val="auto"/>
          <w:kern w:val="0"/>
          <w:sz w:val="32"/>
          <w:szCs w:val="32"/>
          <w:lang w:val="en-US" w:eastAsia="zh-CN" w:bidi="ar-SA"/>
        </w:rPr>
        <w:t>%，主要是因为减少了省市资金和专项资金的收入。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2020年度财政拨款支出总计</w:t>
      </w:r>
      <w:r>
        <w:rPr>
          <w:rFonts w:hint="eastAsia" w:ascii="仿宋" w:hAnsi="仿宋" w:eastAsia="仿宋" w:cs="仿宋"/>
          <w:b w:val="0"/>
          <w:bCs w:val="0"/>
          <w:color w:val="auto"/>
          <w:kern w:val="0"/>
          <w:sz w:val="32"/>
          <w:szCs w:val="32"/>
          <w:lang w:val="en-US" w:eastAsia="zh-CN" w:bidi="ar-SA"/>
        </w:rPr>
        <w:t>6046.94</w:t>
      </w:r>
      <w:r>
        <w:rPr>
          <w:rFonts w:hint="eastAsia" w:ascii="仿宋" w:hAnsi="仿宋" w:eastAsia="仿宋" w:cs="仿宋"/>
          <w:b w:val="0"/>
          <w:bCs w:val="0"/>
          <w:color w:val="auto"/>
          <w:kern w:val="0"/>
          <w:sz w:val="32"/>
          <w:szCs w:val="32"/>
          <w:lang w:val="en-US" w:eastAsia="zh-CN" w:bidi="ar-SA"/>
        </w:rPr>
        <w:t>万元，与2019年相比，减少</w:t>
      </w:r>
      <w:r>
        <w:rPr>
          <w:rFonts w:hint="eastAsia" w:ascii="仿宋" w:hAnsi="仿宋" w:eastAsia="仿宋" w:cs="仿宋"/>
          <w:b w:val="0"/>
          <w:bCs w:val="0"/>
          <w:color w:val="auto"/>
          <w:kern w:val="0"/>
          <w:sz w:val="32"/>
          <w:szCs w:val="32"/>
          <w:lang w:val="en-US" w:eastAsia="zh-CN" w:bidi="ar-SA"/>
        </w:rPr>
        <w:t>287.15</w:t>
      </w:r>
      <w:r>
        <w:rPr>
          <w:rFonts w:hint="eastAsia" w:ascii="仿宋" w:hAnsi="仿宋" w:eastAsia="仿宋" w:cs="仿宋"/>
          <w:b w:val="0"/>
          <w:bCs w:val="0"/>
          <w:color w:val="auto"/>
          <w:kern w:val="0"/>
          <w:sz w:val="32"/>
          <w:szCs w:val="32"/>
          <w:lang w:val="en-US" w:eastAsia="zh-CN" w:bidi="ar-SA"/>
        </w:rPr>
        <w:t>万元，减少</w:t>
      </w:r>
      <w:r>
        <w:rPr>
          <w:rFonts w:hint="eastAsia" w:ascii="仿宋" w:hAnsi="仿宋" w:eastAsia="仿宋" w:cs="仿宋"/>
          <w:b w:val="0"/>
          <w:bCs w:val="0"/>
          <w:color w:val="auto"/>
          <w:kern w:val="0"/>
          <w:sz w:val="32"/>
          <w:szCs w:val="32"/>
          <w:lang w:val="en-US" w:eastAsia="zh-CN" w:bidi="ar-SA"/>
        </w:rPr>
        <w:t>4.53</w:t>
      </w:r>
      <w:r>
        <w:rPr>
          <w:rFonts w:hint="eastAsia" w:ascii="仿宋" w:hAnsi="仿宋" w:eastAsia="仿宋" w:cs="仿宋"/>
          <w:b w:val="0"/>
          <w:bCs w:val="0"/>
          <w:color w:val="auto"/>
          <w:kern w:val="0"/>
          <w:sz w:val="32"/>
          <w:szCs w:val="32"/>
          <w:lang w:val="en-US" w:eastAsia="zh-CN" w:bidi="ar-SA"/>
        </w:rPr>
        <w:t>%，主要是因为减少了省市资金和专项资金的支出。</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五、一般公共预算财政拨款支出决算情况说明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outlineLvl w:val="9"/>
        <w:rPr>
          <w:rFonts w:hint="eastAsia" w:ascii="仿宋" w:hAnsi="仿宋" w:eastAsia="仿宋" w:cs="仿宋"/>
          <w:b/>
          <w:bCs/>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（一）财政拨款支出决算总体情况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2020年度财政拨款支出4083.58万元，占本年支出合计的100%，与2019年相比，财政拨款支出减少770.88万元，减少15.88%，主要是因为减少了省市资金和专项资金的支出。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outlineLvl w:val="9"/>
        <w:rPr>
          <w:rFonts w:hint="eastAsia" w:ascii="仿宋" w:hAnsi="仿宋" w:eastAsia="仿宋" w:cs="仿宋"/>
          <w:b/>
          <w:bCs/>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（二）财政拨款支出决算结构情况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color w:val="auto"/>
          <w:kern w:val="2"/>
          <w:sz w:val="32"/>
          <w:szCs w:val="32"/>
          <w:u w:val="none"/>
          <w:lang w:val="en-US" w:eastAsia="zh-CN" w:bidi="ar-SA"/>
        </w:rPr>
      </w:pPr>
      <w:r>
        <w:rPr>
          <w:rFonts w:hint="eastAsia" w:ascii="仿宋" w:hAnsi="仿宋" w:eastAsia="仿宋" w:cs="仿宋"/>
          <w:b w:val="0"/>
          <w:bCs w:val="0"/>
          <w:color w:val="auto"/>
          <w:kern w:val="0"/>
          <w:sz w:val="32"/>
          <w:szCs w:val="32"/>
          <w:lang w:val="en-US" w:eastAsia="zh-CN" w:bidi="ar-SA"/>
        </w:rPr>
        <w:t>2020年度财政拨款支出4,083.58万元，主要用于以下方面：</w:t>
      </w:r>
      <w:r>
        <w:rPr>
          <w:rFonts w:hint="eastAsia" w:ascii="仿宋" w:hAnsi="仿宋" w:eastAsia="仿宋" w:cs="仿宋"/>
          <w:color w:val="auto"/>
          <w:sz w:val="32"/>
          <w:szCs w:val="32"/>
        </w:rPr>
        <w:t>一般公共服务（类）支出</w:t>
      </w:r>
      <w:r>
        <w:rPr>
          <w:rFonts w:hint="eastAsia" w:ascii="仿宋" w:hAnsi="仿宋" w:eastAsia="仿宋" w:cs="仿宋"/>
          <w:color w:val="auto"/>
          <w:sz w:val="32"/>
          <w:szCs w:val="32"/>
          <w:lang w:val="en-US" w:eastAsia="zh-CN"/>
        </w:rPr>
        <w:t>1720.03万元，占42.12%，科学技术（类）支出81万元，占1.98%，</w:t>
      </w:r>
      <w:r>
        <w:rPr>
          <w:rFonts w:hint="eastAsia" w:ascii="仿宋" w:hAnsi="仿宋" w:eastAsia="仿宋" w:cs="仿宋"/>
          <w:color w:val="auto"/>
          <w:kern w:val="2"/>
          <w:sz w:val="32"/>
          <w:szCs w:val="32"/>
          <w:u w:val="none"/>
          <w:lang w:val="en-US" w:eastAsia="zh-CN" w:bidi="ar-SA"/>
        </w:rPr>
        <w:t>保障和就业支出（类）支出</w:t>
      </w:r>
      <w:r>
        <w:rPr>
          <w:rFonts w:hint="eastAsia" w:ascii="仿宋" w:hAnsi="仿宋" w:eastAsia="仿宋" w:cs="仿宋"/>
          <w:color w:val="auto"/>
          <w:sz w:val="32"/>
          <w:szCs w:val="32"/>
          <w:u w:val="none"/>
          <w:lang w:val="en-US" w:eastAsia="zh-CN"/>
        </w:rPr>
        <w:t>90.47</w:t>
      </w:r>
      <w:r>
        <w:rPr>
          <w:rFonts w:hint="eastAsia" w:ascii="仿宋" w:hAnsi="仿宋" w:eastAsia="仿宋" w:cs="仿宋"/>
          <w:color w:val="auto"/>
          <w:kern w:val="2"/>
          <w:sz w:val="32"/>
          <w:szCs w:val="32"/>
          <w:u w:val="none"/>
          <w:lang w:val="en-US" w:eastAsia="zh-CN" w:bidi="ar-SA"/>
        </w:rPr>
        <w:t>万元，占</w:t>
      </w:r>
      <w:r>
        <w:rPr>
          <w:rFonts w:hint="eastAsia" w:ascii="仿宋" w:hAnsi="仿宋" w:eastAsia="仿宋" w:cs="仿宋"/>
          <w:color w:val="auto"/>
          <w:sz w:val="32"/>
          <w:szCs w:val="32"/>
          <w:u w:val="none"/>
          <w:lang w:val="en-US" w:eastAsia="zh-CN"/>
        </w:rPr>
        <w:t>2.22</w:t>
      </w:r>
      <w:r>
        <w:rPr>
          <w:rFonts w:hint="eastAsia" w:ascii="仿宋" w:hAnsi="仿宋" w:eastAsia="仿宋" w:cs="仿宋"/>
          <w:color w:val="auto"/>
          <w:kern w:val="2"/>
          <w:sz w:val="32"/>
          <w:szCs w:val="32"/>
          <w:u w:val="none"/>
          <w:lang w:val="en-US" w:eastAsia="zh-CN" w:bidi="ar-SA"/>
        </w:rPr>
        <w:t>%；节能环保支出</w:t>
      </w:r>
      <w:r>
        <w:rPr>
          <w:rFonts w:hint="eastAsia" w:ascii="仿宋" w:hAnsi="仿宋" w:eastAsia="仿宋" w:cs="仿宋"/>
          <w:color w:val="auto"/>
          <w:sz w:val="32"/>
          <w:szCs w:val="32"/>
          <w:u w:val="none"/>
          <w:lang w:val="en-US" w:eastAsia="zh-CN"/>
        </w:rPr>
        <w:t>2.98</w:t>
      </w:r>
      <w:r>
        <w:rPr>
          <w:rFonts w:hint="eastAsia" w:ascii="仿宋" w:hAnsi="仿宋" w:eastAsia="仿宋" w:cs="仿宋"/>
          <w:color w:val="auto"/>
          <w:kern w:val="2"/>
          <w:sz w:val="32"/>
          <w:szCs w:val="32"/>
          <w:u w:val="none"/>
          <w:lang w:val="en-US" w:eastAsia="zh-CN" w:bidi="ar-SA"/>
        </w:rPr>
        <w:t>万元，占</w:t>
      </w:r>
      <w:r>
        <w:rPr>
          <w:rFonts w:hint="eastAsia" w:ascii="仿宋" w:hAnsi="仿宋" w:eastAsia="仿宋" w:cs="仿宋"/>
          <w:color w:val="auto"/>
          <w:sz w:val="32"/>
          <w:szCs w:val="32"/>
          <w:u w:val="none"/>
          <w:lang w:val="en-US" w:eastAsia="zh-CN"/>
        </w:rPr>
        <w:t>0.07</w:t>
      </w:r>
      <w:r>
        <w:rPr>
          <w:rFonts w:hint="eastAsia" w:ascii="仿宋" w:hAnsi="仿宋" w:eastAsia="仿宋" w:cs="仿宋"/>
          <w:color w:val="auto"/>
          <w:kern w:val="2"/>
          <w:sz w:val="32"/>
          <w:szCs w:val="32"/>
          <w:u w:val="none"/>
          <w:lang w:val="en-US" w:eastAsia="zh-CN" w:bidi="ar-SA"/>
        </w:rPr>
        <w:t>%；城乡社区（类）支出13.6万元，占0.33%，商业服务业等（类）支出2145.05万元，占52.54%，住房保障支出</w:t>
      </w:r>
      <w:r>
        <w:rPr>
          <w:rFonts w:hint="eastAsia" w:ascii="仿宋" w:hAnsi="仿宋" w:eastAsia="仿宋" w:cs="仿宋"/>
          <w:color w:val="auto"/>
          <w:sz w:val="32"/>
          <w:szCs w:val="32"/>
          <w:u w:val="none"/>
          <w:lang w:val="en-US" w:eastAsia="zh-CN"/>
        </w:rPr>
        <w:t>29.45</w:t>
      </w:r>
      <w:r>
        <w:rPr>
          <w:rFonts w:hint="eastAsia" w:ascii="仿宋" w:hAnsi="仿宋" w:eastAsia="仿宋" w:cs="仿宋"/>
          <w:color w:val="auto"/>
          <w:kern w:val="2"/>
          <w:sz w:val="32"/>
          <w:szCs w:val="32"/>
          <w:u w:val="none"/>
          <w:lang w:val="en-US" w:eastAsia="zh-CN" w:bidi="ar-SA"/>
        </w:rPr>
        <w:t>万元，占</w:t>
      </w:r>
      <w:r>
        <w:rPr>
          <w:rFonts w:hint="eastAsia" w:ascii="仿宋" w:hAnsi="仿宋" w:eastAsia="仿宋" w:cs="仿宋"/>
          <w:color w:val="auto"/>
          <w:sz w:val="32"/>
          <w:szCs w:val="32"/>
          <w:u w:val="none"/>
          <w:lang w:val="en-US" w:eastAsia="zh-CN"/>
        </w:rPr>
        <w:t>0.72</w:t>
      </w:r>
      <w:r>
        <w:rPr>
          <w:rFonts w:hint="eastAsia" w:ascii="仿宋" w:hAnsi="仿宋" w:eastAsia="仿宋" w:cs="仿宋"/>
          <w:color w:val="auto"/>
          <w:kern w:val="2"/>
          <w:sz w:val="32"/>
          <w:szCs w:val="32"/>
          <w:u w:val="none"/>
          <w:lang w:val="en-US" w:eastAsia="zh-CN" w:bidi="ar-SA"/>
        </w:rPr>
        <w:t>%，灾害防治及应急管理（类）支出1万元，占0.02%。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outlineLvl w:val="9"/>
        <w:rPr>
          <w:rFonts w:hint="eastAsia" w:ascii="仿宋" w:hAnsi="仿宋" w:eastAsia="仿宋" w:cs="仿宋"/>
          <w:b/>
          <w:bCs/>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（三）财政拨款支出决算具体情况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2020年度财政拨款支出年初预算数为1440.87万元，支出决算数为4,083.58万元，完成年初预算的283.41%，其中：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1、一般公共服务支出（类）商贸事务（款）行政运行（项）。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年初预算为391.85万元，支出决算为391.13万元，完成年初预算的</w:t>
      </w:r>
      <w:r>
        <w:rPr>
          <w:rFonts w:hint="eastAsia" w:ascii="仿宋" w:hAnsi="仿宋" w:eastAsia="仿宋" w:cs="仿宋"/>
          <w:b w:val="0"/>
          <w:bCs w:val="0"/>
          <w:color w:val="auto"/>
          <w:kern w:val="0"/>
          <w:sz w:val="32"/>
          <w:szCs w:val="32"/>
          <w:lang w:val="en-US" w:eastAsia="zh-CN" w:bidi="ar-SA"/>
        </w:rPr>
        <w:t>99.82</w:t>
      </w:r>
      <w:r>
        <w:rPr>
          <w:rFonts w:hint="eastAsia" w:ascii="仿宋" w:hAnsi="仿宋" w:eastAsia="仿宋" w:cs="仿宋"/>
          <w:b w:val="0"/>
          <w:bCs w:val="0"/>
          <w:color w:val="auto"/>
          <w:kern w:val="0"/>
          <w:sz w:val="32"/>
          <w:szCs w:val="32"/>
          <w:lang w:val="en-US" w:eastAsia="zh-CN" w:bidi="ar-SA"/>
        </w:rPr>
        <w:t>%，决算数小于年初预算数的主要原因是：因人员异动，人员经费有细微变化。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2、一般公共服务（类）商贸事务（款）一般行政管理事务（项）。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年初预算为54万元，支出决算为320.54万元，完成年初预算的593.59%，决算数大于年初预算数的主要原因是：增加了对企业的奖励资金。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3、一般公共服务支出（类）商贸事务（款）招商引资（项）。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年初预算为900万元，支出决算为1,008.37万元，完成年初预算的112.04%，决算数大于年初预算数的主要原因是：增加了上年结余资金的支出。</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科学技术支出（类）其他科学技术支出（款）其他科学技术支出（项）。</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right="0" w:rightChars="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年初预算为0万元，支出决算为81万元，决算数大于年初预算数的主要原因是：增加了省市资金。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5、社会保障和就业支出（类）行政事业单位养老支出（款）行政单位离退休（项）。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年初预算为66.69万元，支出决算为73.44万元，完成年初预算的110.12%，决算数大于年初预算数的主要原因是：工资有调整。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6、社会保障和就业支出（类）行政事业单位养老支出（款）机关事业单位基本养老保险缴费支出（项）。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年初预算为0万元，支出决算为15.6万元，决算数大于年初预算数的主要原因是：年初未细化此功能科目。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7、社会保障和就业支出（类）残疾人事业（款）其他残疾人事业支出（项）。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年初预算为0万元，支出决算为1.43万元，决算数大于年初预算数的主要原因是：增加了残疾人就业保证金。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8、节能环保支出（类）环境保护管理事务（款）其他环境保护管理事务支出（项）。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年初预算为0万元，支出决算为2.98万元，决算数大于年初预算数的主要原因是：增加了考核奖励资金。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9、城乡社区支出（类）其他城乡社区支出（款）其他城乡社区支出（项）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年初预算为0万元，支出决算为13.6万元，决算数大于年初预算数的主要原因是：增加了2019年先进工作奖励资金。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10、商业服务业等支出（类）商业流通事务（款）其他商业流通事务支出（项）。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年初预算为0万元，支出决算为756.40万元，决算数大于年初预算数的主要原因是：增加了省市资金。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11、商业服务业等支出（类）涉外发展服务支出（款）其他涉外发展服务支出（项）。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年初预算为0万元，支出决算为842.04万元，决算数大于年初预算数的主要原因是：增加了省市资金。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12、商业服务业等支出（类）其他商业服务业等支出（款）其他商业服务业等支出（项）。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年初预算为0万元，支出决算为546.61万元，决算数大于年初预算数的主要原因是：增加了2019年经济发展奖励资金。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13、住房保障支出（类）住房改革支出（款）住房公积金（项）。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年初预算为28.33万元，支出决算为29.45万元，完成年初预算的103.95%，决算数大于年初预算数的主要原因是：住房公积金调整了基数。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14、灾害防治及应急管理支出（类）应急管理事务（款）一般行政管理事务（项）。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年初预算为0万元，支出决算为1万元，决算数大于年初预算数的主要原因是：增加了考核奖励资金。</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六、一般公共预算财政拨款基本支出决算情况说明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2020年度财政拨款基本支出511.05万元，其中：人员经费484万元，占基本支出的94.71%，主要包括基本工资、津贴补贴、奖金、伙食补助费、绩效工资、社会保险缴费、住房公积金、奖励金、临聘人员工资福利；公用经费27.05万元，占基本支出的5.29%，主要包括办公费、邮电费、劳务费、工会经费、其他商品和服务支出。</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七、一般公共预算财政拨款三公经费支出决算情况说明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（一）“三公”经费财政拨款支出决算总体情况说明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“三公”经费财政拨款支出预算为0万元，支出决算为0万元，完成预算的100%，其中：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因公出国（境）费支出预算为0万元，支出决算为0万元，完成预算的100%，决算数与年初预算数持平，主要原因按预算执行，与上年数持平，主要原因本年度未安排因公出国（境）。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公务接待费支出预算0万元，支出决算为0万元，完成预算的100%，决算数与年初预算数持平，主要原因是按预算执行，与上年相比减少1.67万元，减少的主要原因是积极贯彻落实中央、省委、市委、区委关于厉行节约的要求，从严控制公务接待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公务用车购置费及运行维护费支出预算为0万元，支出决算为0万元，完成预算的100%，决算数与年初预算数持平主要原因按预算执行，与上年数持平，主要原因是厉行节约，减少开支。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outlineLvl w:val="9"/>
        <w:rPr>
          <w:rFonts w:hint="eastAsia" w:ascii="仿宋" w:hAnsi="仿宋" w:eastAsia="仿宋" w:cs="仿宋"/>
          <w:b/>
          <w:bCs/>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（二）“三公”经费财政拨款支出决算具体情况说明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2020年度“三公”经费财政拨款支出决算中，公务接待费支出决算0万元，因公出国（境）费支出决算0万元，公务用车购置费及运行维护费支出决算0万元，占0%。其中：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1、因公出国（境）费支出决算为0万元，全年安排因公出国（境）团组0个，累计0人次。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2、公务接待费支出决算为0万元，</w:t>
      </w:r>
      <w:r>
        <w:rPr>
          <w:rFonts w:hint="eastAsia" w:ascii="仿宋" w:hAnsi="仿宋" w:eastAsia="仿宋" w:cs="仿宋"/>
          <w:color w:val="auto"/>
          <w:sz w:val="32"/>
          <w:szCs w:val="32"/>
        </w:rPr>
        <w:t>全年共接待来访团组</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个、来宾</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人次</w:t>
      </w:r>
      <w:r>
        <w:rPr>
          <w:rFonts w:hint="eastAsia" w:ascii="仿宋" w:hAnsi="仿宋" w:eastAsia="仿宋" w:cs="仿宋"/>
          <w:b w:val="0"/>
          <w:bCs w:val="0"/>
          <w:color w:val="auto"/>
          <w:kern w:val="0"/>
          <w:sz w:val="32"/>
          <w:szCs w:val="32"/>
          <w:lang w:val="en-US" w:eastAsia="zh-CN" w:bidi="ar-SA"/>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3、公务用车购置费及运行维护费支出决算为0万元，其中：公务用车购置费0万元，长沙市开福区商务局更新公务用车0辆。公务用车运行维护费0万元，截止2020年12月31日，我单位开支财政拨款的公务用车保有量为0辆。</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八、政府性基金预算收入支出决算情况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2020年度长沙市开福区商务局无政府性基金收支。</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九、关于2020年度预算绩效情况说明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根据预算绩效管理要求，我局对部门整体支出绩效开展了自评，自评覆盖率达到100%。按照部门整体支出绩效评价指标，绩效自评结果较为理想。我局高度重视绩效评价工作，整体提升了预算绩效管理意识，加强了绩效评价结果的运用，强化了专项资金绩效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本年其他单位未对我单位进行单独的绩效评价。</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十、其他重要事项情况说明</w:t>
      </w:r>
    </w:p>
    <w:p>
      <w:pPr>
        <w:pStyle w:val="6"/>
        <w:keepNext w:val="0"/>
        <w:keepLines w:val="0"/>
        <w:pageBreakBefore w:val="0"/>
        <w:kinsoku/>
        <w:wordWrap/>
        <w:overflowPunct/>
        <w:topLinePunct w:val="0"/>
        <w:bidi w:val="0"/>
        <w:snapToGrid/>
        <w:spacing w:line="600" w:lineRule="exact"/>
        <w:ind w:firstLine="643" w:firstLineChars="200"/>
        <w:textAlignment w:val="auto"/>
        <w:rPr>
          <w:rFonts w:hint="eastAsia" w:ascii="仿宋" w:hAnsi="仿宋" w:eastAsia="仿宋" w:cs="仿宋"/>
          <w:b/>
          <w:bCs/>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（一）机关运行经费支出情况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本部门2020年度机关运行经费支出27.05万元，比年初预算数减少</w:t>
      </w:r>
      <w:r>
        <w:rPr>
          <w:rFonts w:hint="eastAsia" w:ascii="仿宋" w:hAnsi="仿宋" w:eastAsia="仿宋" w:cs="仿宋"/>
          <w:b w:val="0"/>
          <w:bCs w:val="0"/>
          <w:color w:val="auto"/>
          <w:kern w:val="0"/>
          <w:sz w:val="32"/>
          <w:szCs w:val="32"/>
          <w:lang w:val="en-US" w:eastAsia="zh-CN" w:bidi="ar-SA"/>
        </w:rPr>
        <w:t>8.22</w:t>
      </w:r>
      <w:r>
        <w:rPr>
          <w:rFonts w:hint="eastAsia" w:ascii="仿宋" w:hAnsi="仿宋" w:eastAsia="仿宋" w:cs="仿宋"/>
          <w:b w:val="0"/>
          <w:bCs w:val="0"/>
          <w:color w:val="auto"/>
          <w:kern w:val="0"/>
          <w:sz w:val="32"/>
          <w:szCs w:val="32"/>
          <w:lang w:val="en-US" w:eastAsia="zh-CN" w:bidi="ar-SA"/>
        </w:rPr>
        <w:t>万元，降低</w:t>
      </w:r>
      <w:r>
        <w:rPr>
          <w:rFonts w:hint="eastAsia" w:ascii="仿宋" w:hAnsi="仿宋" w:eastAsia="仿宋" w:cs="仿宋"/>
          <w:b w:val="0"/>
          <w:bCs w:val="0"/>
          <w:color w:val="auto"/>
          <w:kern w:val="0"/>
          <w:sz w:val="32"/>
          <w:szCs w:val="32"/>
          <w:lang w:val="en-US" w:eastAsia="zh-CN" w:bidi="ar-SA"/>
        </w:rPr>
        <w:t>23.31</w:t>
      </w:r>
      <w:r>
        <w:rPr>
          <w:rFonts w:hint="eastAsia" w:ascii="仿宋" w:hAnsi="仿宋" w:eastAsia="仿宋" w:cs="仿宋"/>
          <w:b w:val="0"/>
          <w:bCs w:val="0"/>
          <w:color w:val="auto"/>
          <w:kern w:val="0"/>
          <w:sz w:val="32"/>
          <w:szCs w:val="32"/>
          <w:lang w:val="en-US" w:eastAsia="zh-CN" w:bidi="ar-SA"/>
        </w:rPr>
        <w:t>%。主要原因是：积极贯彻落实中央、省委、市委、区委关于厉行节约的要求。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outlineLvl w:val="9"/>
        <w:rPr>
          <w:rFonts w:hint="eastAsia" w:ascii="仿宋" w:hAnsi="仿宋" w:eastAsia="仿宋" w:cs="仿宋"/>
          <w:b/>
          <w:bCs/>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（二）一般性支出情况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2020年本部门开支会议费0万元，本年度未召开会议；开支培训费0万元；未举办节庆、晚会、论坛、赛事活动，开支0万元。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outlineLvl w:val="9"/>
        <w:rPr>
          <w:rFonts w:hint="eastAsia" w:ascii="仿宋" w:hAnsi="仿宋" w:eastAsia="仿宋" w:cs="仿宋"/>
          <w:b/>
          <w:bCs/>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（三）政府采购支出情况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本部门2020年度政府采购支出总额29.62万元，其中：政府采购货物支出0.82万元、政府采购工程支出0万元、政府采购服务支出28.80万元。授予中小企业合同金额0万元，占政府采购支出总额的0%，其中：授予小微企业合同金额0万元，占政府采购支出总额的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outlineLvl w:val="9"/>
        <w:rPr>
          <w:rFonts w:hint="eastAsia" w:ascii="仿宋" w:hAnsi="仿宋" w:eastAsia="仿宋" w:cs="仿宋"/>
          <w:b/>
          <w:bCs/>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（四）国有资产占用情况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u w:val="none"/>
          <w:lang w:val="en-US" w:eastAsia="zh-CN" w:bidi="ar-SA"/>
        </w:rPr>
      </w:pPr>
      <w:r>
        <w:rPr>
          <w:rFonts w:hint="eastAsia" w:ascii="仿宋" w:hAnsi="仿宋" w:eastAsia="仿宋" w:cs="仿宋"/>
          <w:b w:val="0"/>
          <w:bCs w:val="0"/>
          <w:color w:val="auto"/>
          <w:kern w:val="0"/>
          <w:sz w:val="32"/>
          <w:szCs w:val="32"/>
          <w:lang w:val="en-US" w:eastAsia="zh-CN" w:bidi="ar-SA"/>
        </w:rPr>
        <w:t>截至2</w:t>
      </w:r>
      <w:r>
        <w:rPr>
          <w:rFonts w:hint="eastAsia" w:ascii="仿宋" w:hAnsi="仿宋" w:eastAsia="仿宋" w:cs="仿宋"/>
          <w:b w:val="0"/>
          <w:bCs w:val="0"/>
          <w:color w:val="auto"/>
          <w:kern w:val="0"/>
          <w:sz w:val="32"/>
          <w:szCs w:val="32"/>
          <w:u w:val="none"/>
          <w:lang w:val="en-US" w:eastAsia="zh-CN" w:bidi="ar-SA"/>
        </w:rPr>
        <w:t>020年12月31日，本单位共有车辆0辆，</w:t>
      </w:r>
      <w:r>
        <w:rPr>
          <w:rFonts w:hint="eastAsia" w:ascii="仿宋" w:hAnsi="仿宋" w:eastAsia="仿宋" w:cs="仿宋"/>
          <w:color w:val="auto"/>
          <w:kern w:val="0"/>
          <w:sz w:val="32"/>
          <w:szCs w:val="32"/>
          <w:u w:val="none"/>
        </w:rPr>
        <w:t>其中，领导干部用车</w:t>
      </w:r>
      <w:r>
        <w:rPr>
          <w:rFonts w:hint="eastAsia" w:ascii="仿宋" w:hAnsi="仿宋" w:eastAsia="仿宋" w:cs="仿宋"/>
          <w:color w:val="auto"/>
          <w:sz w:val="32"/>
          <w:szCs w:val="32"/>
          <w:u w:val="none"/>
          <w:lang w:val="en-US" w:eastAsia="zh-CN"/>
        </w:rPr>
        <w:t>0</w:t>
      </w:r>
      <w:r>
        <w:rPr>
          <w:rFonts w:hint="eastAsia" w:ascii="仿宋" w:hAnsi="仿宋" w:eastAsia="仿宋" w:cs="仿宋"/>
          <w:color w:val="auto"/>
          <w:kern w:val="0"/>
          <w:sz w:val="32"/>
          <w:szCs w:val="32"/>
          <w:u w:val="none"/>
        </w:rPr>
        <w:t>辆、机要通信用车</w:t>
      </w:r>
      <w:r>
        <w:rPr>
          <w:rFonts w:hint="eastAsia" w:ascii="仿宋" w:hAnsi="仿宋" w:eastAsia="仿宋" w:cs="仿宋"/>
          <w:color w:val="auto"/>
          <w:sz w:val="32"/>
          <w:szCs w:val="32"/>
          <w:u w:val="none"/>
          <w:lang w:val="en-US" w:eastAsia="zh-CN"/>
        </w:rPr>
        <w:t>0</w:t>
      </w:r>
      <w:r>
        <w:rPr>
          <w:rFonts w:hint="eastAsia" w:ascii="仿宋" w:hAnsi="仿宋" w:eastAsia="仿宋" w:cs="仿宋"/>
          <w:color w:val="auto"/>
          <w:kern w:val="0"/>
          <w:sz w:val="32"/>
          <w:szCs w:val="32"/>
          <w:u w:val="none"/>
        </w:rPr>
        <w:t>辆、应急保障用车</w:t>
      </w:r>
      <w:r>
        <w:rPr>
          <w:rFonts w:hint="eastAsia" w:ascii="仿宋" w:hAnsi="仿宋" w:eastAsia="仿宋" w:cs="仿宋"/>
          <w:color w:val="auto"/>
          <w:sz w:val="32"/>
          <w:szCs w:val="32"/>
          <w:u w:val="none"/>
          <w:lang w:val="en-US" w:eastAsia="zh-CN"/>
        </w:rPr>
        <w:t>0</w:t>
      </w:r>
      <w:r>
        <w:rPr>
          <w:rFonts w:hint="eastAsia" w:ascii="仿宋" w:hAnsi="仿宋" w:eastAsia="仿宋" w:cs="仿宋"/>
          <w:color w:val="auto"/>
          <w:kern w:val="0"/>
          <w:sz w:val="32"/>
          <w:szCs w:val="32"/>
          <w:u w:val="none"/>
        </w:rPr>
        <w:t>辆、执法执勤用车</w:t>
      </w:r>
      <w:r>
        <w:rPr>
          <w:rFonts w:hint="eastAsia" w:ascii="仿宋" w:hAnsi="仿宋" w:eastAsia="仿宋" w:cs="仿宋"/>
          <w:color w:val="auto"/>
          <w:sz w:val="32"/>
          <w:szCs w:val="32"/>
          <w:u w:val="none"/>
          <w:lang w:val="en-US" w:eastAsia="zh-CN"/>
        </w:rPr>
        <w:t>0</w:t>
      </w:r>
      <w:r>
        <w:rPr>
          <w:rFonts w:hint="eastAsia" w:ascii="仿宋" w:hAnsi="仿宋" w:eastAsia="仿宋" w:cs="仿宋"/>
          <w:color w:val="auto"/>
          <w:kern w:val="0"/>
          <w:sz w:val="32"/>
          <w:szCs w:val="32"/>
          <w:u w:val="none"/>
        </w:rPr>
        <w:t>辆、特种专业技术用车</w:t>
      </w:r>
      <w:r>
        <w:rPr>
          <w:rFonts w:hint="eastAsia" w:ascii="仿宋" w:hAnsi="仿宋" w:eastAsia="仿宋" w:cs="仿宋"/>
          <w:color w:val="auto"/>
          <w:sz w:val="32"/>
          <w:szCs w:val="32"/>
          <w:u w:val="none"/>
          <w:lang w:val="en-US" w:eastAsia="zh-CN"/>
        </w:rPr>
        <w:t>0</w:t>
      </w:r>
      <w:r>
        <w:rPr>
          <w:rFonts w:hint="eastAsia" w:ascii="仿宋" w:hAnsi="仿宋" w:eastAsia="仿宋" w:cs="仿宋"/>
          <w:color w:val="auto"/>
          <w:kern w:val="0"/>
          <w:sz w:val="32"/>
          <w:szCs w:val="32"/>
          <w:u w:val="none"/>
        </w:rPr>
        <w:t>辆、其他用车</w:t>
      </w:r>
      <w:r>
        <w:rPr>
          <w:rFonts w:hint="eastAsia" w:ascii="仿宋" w:hAnsi="仿宋" w:eastAsia="仿宋" w:cs="仿宋"/>
          <w:color w:val="auto"/>
          <w:sz w:val="32"/>
          <w:szCs w:val="32"/>
          <w:u w:val="none"/>
          <w:lang w:val="en-US" w:eastAsia="zh-CN"/>
        </w:rPr>
        <w:t>0</w:t>
      </w:r>
      <w:r>
        <w:rPr>
          <w:rFonts w:hint="eastAsia" w:ascii="仿宋" w:hAnsi="仿宋" w:eastAsia="仿宋" w:cs="仿宋"/>
          <w:color w:val="auto"/>
          <w:kern w:val="0"/>
          <w:sz w:val="32"/>
          <w:szCs w:val="32"/>
          <w:u w:val="none"/>
        </w:rPr>
        <w:t>辆</w:t>
      </w:r>
      <w:r>
        <w:rPr>
          <w:rFonts w:hint="eastAsia" w:ascii="仿宋" w:hAnsi="仿宋" w:eastAsia="仿宋" w:cs="仿宋"/>
          <w:color w:val="auto"/>
          <w:kern w:val="0"/>
          <w:sz w:val="32"/>
          <w:szCs w:val="32"/>
          <w:u w:val="none"/>
        </w:rPr>
        <w:t>，</w:t>
      </w:r>
      <w:r>
        <w:rPr>
          <w:rFonts w:hint="eastAsia" w:ascii="仿宋" w:hAnsi="仿宋" w:eastAsia="仿宋" w:cs="仿宋"/>
          <w:b w:val="0"/>
          <w:bCs w:val="0"/>
          <w:color w:val="auto"/>
          <w:kern w:val="0"/>
          <w:sz w:val="32"/>
          <w:szCs w:val="32"/>
          <w:u w:val="none"/>
          <w:lang w:val="en-US" w:eastAsia="zh-CN" w:bidi="ar-SA"/>
        </w:rPr>
        <w:t>单位价值50万元以上通用设备0台（套）；单位价值100万元以上专用设备0台（套）。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p>
    <w:p>
      <w:pPr>
        <w:keepNext w:val="0"/>
        <w:keepLines w:val="0"/>
        <w:pageBreakBefore w:val="0"/>
        <w:widowControl/>
        <w:kinsoku/>
        <w:wordWrap/>
        <w:overflowPunct/>
        <w:topLinePunct w:val="0"/>
        <w:bidi w:val="0"/>
        <w:snapToGrid/>
        <w:spacing w:line="600" w:lineRule="exact"/>
        <w:ind w:firstLine="880" w:firstLineChars="200"/>
        <w:jc w:val="center"/>
        <w:textAlignment w:val="auto"/>
        <w:rPr>
          <w:rFonts w:hint="eastAsia"/>
          <w:color w:val="auto"/>
        </w:rPr>
      </w:pPr>
      <w:r>
        <w:rPr>
          <w:rFonts w:hint="eastAsia" w:ascii="黑体" w:hAnsi="黑体" w:eastAsia="黑体" w:cs="黑体"/>
          <w:bCs/>
          <w:color w:val="auto"/>
          <w:kern w:val="0"/>
          <w:sz w:val="44"/>
          <w:szCs w:val="44"/>
        </w:rPr>
        <w:t>第四部分 名词解释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（一）、基本支出：指为保障机构正常运转、完成日常工作任务而发生的人员支出和公用支出。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（二）、项目支出：指在基本支出之外为完成特定行政任务和事业发展目标所发生的支出。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三）、“三公”经费：纳入长沙市开福区财政预决算管理的“三公”经费，是指长沙市开福区部门用财政拨款安排的因公出国（境）、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四）、机关运行经费：为保障行政单位（包括参照公务员法管理的事业单位）运行，用当年财政拨款安排的用于购买货物和服务的各项资金，包括办公及印刷费、邮电费、差旅费、会议费、福利费、日常维修费、办公用房水电费、办公用房取暖费、办公用房物业管理费、公务用车运行维护费以及其他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p>
    <w:p>
      <w:pPr>
        <w:keepNext w:val="0"/>
        <w:keepLines w:val="0"/>
        <w:pageBreakBefore w:val="0"/>
        <w:numPr>
          <w:ilvl w:val="0"/>
          <w:numId w:val="2"/>
        </w:numPr>
        <w:kinsoku/>
        <w:wordWrap/>
        <w:overflowPunct/>
        <w:topLinePunct w:val="0"/>
        <w:bidi w:val="0"/>
        <w:snapToGrid/>
        <w:spacing w:line="600" w:lineRule="exact"/>
        <w:ind w:firstLine="880" w:firstLineChars="200"/>
        <w:jc w:val="center"/>
        <w:textAlignment w:val="auto"/>
        <w:rPr>
          <w:rFonts w:hint="eastAsia" w:ascii="黑体" w:hAnsi="黑体" w:eastAsia="黑体" w:cs="黑体"/>
          <w:bCs/>
          <w:color w:val="auto"/>
          <w:kern w:val="0"/>
          <w:sz w:val="44"/>
          <w:szCs w:val="44"/>
          <w:lang w:val="en-US" w:eastAsia="zh-CN"/>
        </w:rPr>
      </w:pPr>
      <w:r>
        <w:rPr>
          <w:rFonts w:hint="eastAsia" w:ascii="黑体" w:hAnsi="黑体" w:eastAsia="黑体" w:cs="黑体"/>
          <w:bCs/>
          <w:color w:val="auto"/>
          <w:kern w:val="0"/>
          <w:sz w:val="44"/>
          <w:szCs w:val="44"/>
          <w:lang w:val="en-US" w:eastAsia="zh-CN"/>
        </w:rPr>
        <w:t>附件</w:t>
      </w:r>
    </w:p>
    <w:p>
      <w:pPr>
        <w:keepNext w:val="0"/>
        <w:keepLines w:val="0"/>
        <w:pageBreakBefore w:val="0"/>
        <w:widowControl/>
        <w:kinsoku/>
        <w:wordWrap/>
        <w:overflowPunct/>
        <w:topLinePunct w:val="0"/>
        <w:bidi w:val="0"/>
        <w:snapToGrid/>
        <w:spacing w:line="600" w:lineRule="exact"/>
        <w:ind w:firstLine="640" w:firstLineChars="200"/>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年度部门整体支出绩效评价报告</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color w:val="auto"/>
          <w:kern w:val="0"/>
          <w:sz w:val="32"/>
          <w:szCs w:val="32"/>
          <w:lang w:val="en-US" w:eastAsia="zh-CN" w:bidi="ar-SA"/>
        </w:rPr>
      </w:pPr>
    </w:p>
    <w:sectPr>
      <w:pgSz w:w="11906" w:h="16838"/>
      <w:pgMar w:top="1417" w:right="158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8F8D32"/>
    <w:multiLevelType w:val="singleLevel"/>
    <w:tmpl w:val="9F8F8D32"/>
    <w:lvl w:ilvl="0" w:tentative="0">
      <w:start w:val="5"/>
      <w:numFmt w:val="chineseCounting"/>
      <w:suff w:val="space"/>
      <w:lvlText w:val="第%1部分"/>
      <w:lvlJc w:val="left"/>
      <w:rPr>
        <w:rFonts w:hint="eastAsia"/>
      </w:rPr>
    </w:lvl>
  </w:abstractNum>
  <w:abstractNum w:abstractNumId="1">
    <w:nsid w:val="5747D463"/>
    <w:multiLevelType w:val="singleLevel"/>
    <w:tmpl w:val="5747D463"/>
    <w:lvl w:ilvl="0" w:tentative="0">
      <w:start w:val="4"/>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kZmVlZWE1YThmOTUxYzdmMmU4OWMyMmJiMWY5ZTgifQ=="/>
  </w:docVars>
  <w:rsids>
    <w:rsidRoot w:val="00000000"/>
    <w:rsid w:val="0906716D"/>
    <w:rsid w:val="0F592105"/>
    <w:rsid w:val="130A73D5"/>
    <w:rsid w:val="15B45ACE"/>
    <w:rsid w:val="1A076A41"/>
    <w:rsid w:val="1E362C29"/>
    <w:rsid w:val="240116D4"/>
    <w:rsid w:val="296057F9"/>
    <w:rsid w:val="2A8804BC"/>
    <w:rsid w:val="2BFA03CA"/>
    <w:rsid w:val="3231600F"/>
    <w:rsid w:val="3343599E"/>
    <w:rsid w:val="34452FA6"/>
    <w:rsid w:val="383E5C35"/>
    <w:rsid w:val="42573248"/>
    <w:rsid w:val="567926B2"/>
    <w:rsid w:val="584A185D"/>
    <w:rsid w:val="5ACD7D5F"/>
    <w:rsid w:val="68CA3C81"/>
    <w:rsid w:val="6A010826"/>
    <w:rsid w:val="7CC571FD"/>
    <w:rsid w:val="7E583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5080</Words>
  <Characters>5564</Characters>
  <Lines>0</Lines>
  <Paragraphs>0</Paragraphs>
  <TotalTime>2</TotalTime>
  <ScaleCrop>false</ScaleCrop>
  <LinksUpToDate>false</LinksUpToDate>
  <CharactersWithSpaces>5574</CharactersWithSpaces>
  <Application>WPS Office_10.8.2.7164_F1E327BC-269C-435d-A152-05C5408002CA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2022-06-27T08:52:00Z</dcterms:created>
  <dc:creator>朱嘉</dc:creator>
  <cp:lastModifiedBy>WPS_1591358512</cp:lastModifiedBy>
  <dcterms:modified xsi:type="dcterms:W3CDTF">2022-08-19T06:12:09Z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2052-10.8.2.7164</vt:lpwstr>
  </property>
  <property fmtid="{D5CDD505-2E9C-101B-9397-08002B2CF9AE}" pid="3" name="ICV">
    <vt:lpwstr>782BC0498B39471493E431FCEF4CA0E6</vt:lpwstr>
  </property>
</Properties>
</file>