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重点项目绩效自评报告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ascii="Times New Roman" w:hAnsi="Times New Roman" w:eastAsia="黑体" w:cs="Times New Roman"/>
          <w:kern w:val="0"/>
          <w:sz w:val="32"/>
          <w:szCs w:val="32"/>
        </w:rPr>
      </w:pPr>
      <w:r>
        <w:rPr>
          <w:rFonts w:hint="eastAsia" w:ascii="仿宋_GB2312"/>
          <w:color w:val="000000"/>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（一）</w:t>
      </w:r>
      <w:r>
        <w:rPr>
          <w:rFonts w:hint="eastAsia" w:ascii="Times New Roman" w:hAnsi="Times New Roman" w:eastAsia="楷体_GB2312" w:cs="Times New Roman"/>
          <w:b w:val="0"/>
          <w:bCs/>
          <w:sz w:val="32"/>
          <w:szCs w:val="32"/>
          <w:lang w:eastAsia="zh-CN"/>
        </w:rPr>
        <w:t>项目支出</w:t>
      </w:r>
      <w:r>
        <w:rPr>
          <w:rFonts w:ascii="Times New Roman" w:hAnsi="Times New Roman" w:eastAsia="楷体_GB2312" w:cs="Times New Roman"/>
          <w:b w:val="0"/>
          <w:bCs/>
          <w:sz w:val="32"/>
          <w:szCs w:val="32"/>
        </w:rPr>
        <w:t>资金概况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2021</w:t>
      </w:r>
      <w:r>
        <w:rPr>
          <w:rFonts w:hint="eastAsia" w:ascii="Times New Roman" w:hAnsi="Times New Roman" w:cs="Times New Roman"/>
          <w:sz w:val="32"/>
          <w:szCs w:val="32"/>
          <w:lang w:val="en-US" w:eastAsia="zh-CN"/>
        </w:rPr>
        <w:t>年我单位（局、部、中心）项目支出预算共</w:t>
      </w:r>
      <w:r>
        <w:rPr>
          <w:rFonts w:hint="eastAsia" w:ascii="Times New Roman" w:hAnsi="Times New Roman" w:cs="Times New Roman"/>
          <w:sz w:val="32"/>
          <w:szCs w:val="32"/>
          <w:u w:val="single"/>
          <w:lang w:val="en-US" w:eastAsia="zh-CN"/>
        </w:rPr>
        <w:t xml:space="preserve"> 647 </w:t>
      </w:r>
      <w:r>
        <w:rPr>
          <w:rFonts w:hint="eastAsia" w:ascii="Times New Roman" w:hAnsi="Times New Roman" w:cs="Times New Roman"/>
          <w:sz w:val="32"/>
          <w:szCs w:val="32"/>
          <w:lang w:val="en-US" w:eastAsia="zh-CN"/>
        </w:rPr>
        <w:t>万元，包含项目</w:t>
      </w:r>
      <w:r>
        <w:rPr>
          <w:rFonts w:hint="eastAsia" w:ascii="Times New Roman" w:hAnsi="Times New Roman" w:cs="Times New Roman"/>
          <w:sz w:val="32"/>
          <w:szCs w:val="32"/>
          <w:u w:val="single"/>
          <w:lang w:val="en-US" w:eastAsia="zh-CN"/>
        </w:rPr>
        <w:t xml:space="preserve"> 3 </w:t>
      </w:r>
      <w:r>
        <w:rPr>
          <w:rFonts w:hint="eastAsia" w:ascii="Times New Roman" w:hAnsi="Times New Roman" w:cs="Times New Roman"/>
          <w:sz w:val="32"/>
          <w:szCs w:val="32"/>
          <w:u w:val="none"/>
          <w:lang w:val="en-US" w:eastAsia="zh-CN"/>
        </w:rPr>
        <w:t>个，实际支出</w:t>
      </w:r>
      <w:r>
        <w:rPr>
          <w:rFonts w:hint="eastAsia" w:ascii="Times New Roman" w:hAnsi="Times New Roman" w:cs="Times New Roman"/>
          <w:sz w:val="32"/>
          <w:szCs w:val="32"/>
          <w:u w:val="single"/>
          <w:lang w:val="en-US" w:eastAsia="zh-CN"/>
        </w:rPr>
        <w:t xml:space="preserve"> 3118.22 </w:t>
      </w:r>
      <w:r>
        <w:rPr>
          <w:rFonts w:hint="eastAsia" w:ascii="Times New Roman" w:hAnsi="Times New Roman" w:cs="Times New Roman"/>
          <w:sz w:val="32"/>
          <w:szCs w:val="32"/>
          <w:lang w:val="en-US" w:eastAsia="zh-CN"/>
        </w:rPr>
        <w:t>万元（</w:t>
      </w:r>
      <w:r>
        <w:rPr>
          <w:rFonts w:hint="eastAsia" w:ascii="Times New Roman" w:hAnsi="Times New Roman" w:cs="Times New Roman"/>
          <w:sz w:val="32"/>
          <w:szCs w:val="32"/>
          <w:lang w:eastAsia="zh-CN"/>
        </w:rPr>
        <w:t>业务工作经费</w:t>
      </w:r>
      <w:r>
        <w:rPr>
          <w:rFonts w:hint="eastAsia" w:ascii="Times New Roman" w:hAnsi="Times New Roman" w:cs="Times New Roman"/>
          <w:sz w:val="32"/>
          <w:szCs w:val="32"/>
          <w:u w:val="single"/>
          <w:lang w:val="en-US" w:eastAsia="zh-CN"/>
        </w:rPr>
        <w:t xml:space="preserve"> 3118.22 </w:t>
      </w:r>
      <w:r>
        <w:rPr>
          <w:rFonts w:hint="eastAsia" w:ascii="Times New Roman" w:hAnsi="Times New Roman" w:cs="Times New Roman"/>
          <w:sz w:val="32"/>
          <w:szCs w:val="32"/>
          <w:lang w:val="en-US" w:eastAsia="zh-CN"/>
        </w:rPr>
        <w:t>万元、专项经费</w:t>
      </w:r>
      <w:r>
        <w:rPr>
          <w:rFonts w:hint="eastAsia" w:ascii="Times New Roman" w:hAnsi="Times New Roman" w:cs="Times New Roman"/>
          <w:sz w:val="32"/>
          <w:szCs w:val="32"/>
          <w:u w:val="single"/>
          <w:lang w:val="en-US" w:eastAsia="zh-CN"/>
        </w:rPr>
        <w:t xml:space="preserve"> 0 </w:t>
      </w:r>
      <w:r>
        <w:rPr>
          <w:rFonts w:hint="eastAsia" w:ascii="Times New Roman" w:hAnsi="Times New Roman" w:cs="Times New Roman"/>
          <w:sz w:val="32"/>
          <w:szCs w:val="32"/>
          <w:lang w:val="en-US" w:eastAsia="zh-CN"/>
        </w:rPr>
        <w:t>万元、政府专项经费</w:t>
      </w:r>
      <w:r>
        <w:rPr>
          <w:rFonts w:hint="eastAsia" w:ascii="Times New Roman" w:hAnsi="Times New Roman" w:cs="Times New Roman"/>
          <w:sz w:val="32"/>
          <w:szCs w:val="32"/>
          <w:u w:val="single"/>
          <w:lang w:val="en-US" w:eastAsia="zh-CN"/>
        </w:rPr>
        <w:t xml:space="preserve"> 0 </w:t>
      </w:r>
      <w:r>
        <w:rPr>
          <w:rFonts w:hint="eastAsia" w:ascii="Times New Roman" w:hAnsi="Times New Roman" w:cs="Times New Roman"/>
          <w:sz w:val="32"/>
          <w:szCs w:val="32"/>
          <w:lang w:val="en-US" w:eastAsia="zh-CN"/>
        </w:rPr>
        <w:t>万元），涵盖项目</w:t>
      </w:r>
      <w:r>
        <w:rPr>
          <w:rFonts w:hint="eastAsia" w:ascii="Times New Roman" w:hAnsi="Times New Roman" w:cs="Times New Roman"/>
          <w:sz w:val="32"/>
          <w:szCs w:val="32"/>
          <w:u w:val="single"/>
          <w:lang w:val="en-US" w:eastAsia="zh-CN"/>
        </w:rPr>
        <w:t xml:space="preserve">6 </w:t>
      </w:r>
      <w:r>
        <w:rPr>
          <w:rFonts w:hint="eastAsia" w:ascii="Times New Roman" w:hAnsi="Times New Roman" w:cs="Times New Roman"/>
          <w:sz w:val="32"/>
          <w:szCs w:val="32"/>
          <w:u w:val="none"/>
          <w:lang w:val="en-US" w:eastAsia="zh-CN"/>
        </w:rPr>
        <w:t>个</w:t>
      </w:r>
      <w:r>
        <w:rPr>
          <w:rFonts w:hint="eastAsia" w:ascii="Times New Roman" w:hAnsi="Times New Roman" w:eastAsia="仿宋_GB2312" w:cs="Times New Roman"/>
          <w:sz w:val="32"/>
          <w:szCs w:val="32"/>
          <w:lang w:eastAsia="zh-CN"/>
        </w:rPr>
        <w:t>。</w:t>
      </w:r>
      <w:r>
        <w:rPr>
          <w:rFonts w:hint="eastAsia" w:ascii="Times New Roman" w:hAnsi="Times New Roman" w:cs="Times New Roman"/>
          <w:sz w:val="32"/>
          <w:szCs w:val="32"/>
          <w:lang w:val="en-US" w:eastAsia="zh-CN"/>
        </w:rPr>
        <w:t>具体情况如下：</w:t>
      </w:r>
    </w:p>
    <w:p>
      <w:pPr>
        <w:spacing w:line="660" w:lineRule="exact"/>
        <w:ind w:firstLine="480" w:firstLineChars="200"/>
        <w:jc w:val="right"/>
        <w:rPr>
          <w:rFonts w:hint="eastAsia" w:ascii="Times New Roman" w:hAnsi="Times New Roman" w:cs="Times New Roman"/>
          <w:sz w:val="32"/>
          <w:szCs w:val="32"/>
          <w:lang w:val="en-US" w:eastAsia="zh-CN"/>
        </w:rPr>
      </w:pPr>
      <w:r>
        <w:rPr>
          <w:rFonts w:hint="eastAsia" w:ascii="Times New Roman" w:hAnsi="Times New Roman" w:cs="Times New Roman"/>
          <w:sz w:val="24"/>
          <w:szCs w:val="24"/>
          <w:lang w:val="en-US" w:eastAsia="zh-CN"/>
        </w:rPr>
        <w:t>金额单位：万元</w:t>
      </w:r>
    </w:p>
    <w:tbl>
      <w:tblPr>
        <w:tblStyle w:val="9"/>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1002"/>
        <w:gridCol w:w="3331"/>
        <w:gridCol w:w="942"/>
        <w:gridCol w:w="997"/>
        <w:gridCol w:w="117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073"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项目名称</w:t>
            </w:r>
          </w:p>
        </w:tc>
        <w:tc>
          <w:tcPr>
            <w:tcW w:w="1002"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项目类型</w:t>
            </w:r>
          </w:p>
        </w:tc>
        <w:tc>
          <w:tcPr>
            <w:tcW w:w="3331"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资金用途、使用方向</w:t>
            </w:r>
          </w:p>
        </w:tc>
        <w:tc>
          <w:tcPr>
            <w:tcW w:w="1939"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预算金额</w:t>
            </w:r>
          </w:p>
        </w:tc>
        <w:tc>
          <w:tcPr>
            <w:tcW w:w="2232"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73"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1002"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3331"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942"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指标</w:t>
            </w:r>
          </w:p>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总额</w:t>
            </w:r>
          </w:p>
        </w:tc>
        <w:tc>
          <w:tcPr>
            <w:tcW w:w="997"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其中：区级资金</w:t>
            </w:r>
          </w:p>
        </w:tc>
        <w:tc>
          <w:tcPr>
            <w:tcW w:w="1176"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支出总额</w:t>
            </w:r>
          </w:p>
        </w:tc>
        <w:tc>
          <w:tcPr>
            <w:tcW w:w="1056"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73"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项目1</w:t>
            </w:r>
          </w:p>
        </w:tc>
        <w:tc>
          <w:tcPr>
            <w:tcW w:w="1002" w:type="dxa"/>
            <w:noWrap w:val="0"/>
            <w:vAlign w:val="center"/>
          </w:tcPr>
          <w:p>
            <w:pPr>
              <w:spacing w:line="240" w:lineRule="auto"/>
              <w:jc w:val="both"/>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业务工作经费</w:t>
            </w:r>
          </w:p>
        </w:tc>
        <w:tc>
          <w:tcPr>
            <w:tcW w:w="3331"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安全整治专项经费</w:t>
            </w:r>
          </w:p>
        </w:tc>
        <w:tc>
          <w:tcPr>
            <w:tcW w:w="942" w:type="dxa"/>
            <w:noWrap w:val="0"/>
            <w:vAlign w:val="top"/>
          </w:tcPr>
          <w:p>
            <w:pPr>
              <w:spacing w:line="240" w:lineRule="auto"/>
              <w:jc w:val="both"/>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28.50</w:t>
            </w:r>
          </w:p>
        </w:tc>
        <w:tc>
          <w:tcPr>
            <w:tcW w:w="997"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28.50</w:t>
            </w:r>
          </w:p>
        </w:tc>
        <w:tc>
          <w:tcPr>
            <w:tcW w:w="1176"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22.65</w:t>
            </w:r>
          </w:p>
        </w:tc>
        <w:tc>
          <w:tcPr>
            <w:tcW w:w="1056"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73"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项目2</w:t>
            </w:r>
          </w:p>
        </w:tc>
        <w:tc>
          <w:tcPr>
            <w:tcW w:w="1002"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业务工作经费</w:t>
            </w:r>
          </w:p>
        </w:tc>
        <w:tc>
          <w:tcPr>
            <w:tcW w:w="3331"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市驻区交通执法大队专项经费</w:t>
            </w:r>
          </w:p>
        </w:tc>
        <w:tc>
          <w:tcPr>
            <w:tcW w:w="942"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427.00</w:t>
            </w:r>
          </w:p>
        </w:tc>
        <w:tc>
          <w:tcPr>
            <w:tcW w:w="997"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427.00</w:t>
            </w:r>
          </w:p>
        </w:tc>
        <w:tc>
          <w:tcPr>
            <w:tcW w:w="1176"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242.30</w:t>
            </w:r>
          </w:p>
        </w:tc>
        <w:tc>
          <w:tcPr>
            <w:tcW w:w="1056"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242.30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73"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项目3</w:t>
            </w:r>
          </w:p>
        </w:tc>
        <w:tc>
          <w:tcPr>
            <w:tcW w:w="1002"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业务工作经费</w:t>
            </w:r>
          </w:p>
        </w:tc>
        <w:tc>
          <w:tcPr>
            <w:tcW w:w="3331"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农村公路养护经费</w:t>
            </w:r>
          </w:p>
        </w:tc>
        <w:tc>
          <w:tcPr>
            <w:tcW w:w="942"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191.50</w:t>
            </w:r>
          </w:p>
        </w:tc>
        <w:tc>
          <w:tcPr>
            <w:tcW w:w="997"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191.50</w:t>
            </w:r>
          </w:p>
        </w:tc>
        <w:tc>
          <w:tcPr>
            <w:tcW w:w="1176"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161.92</w:t>
            </w:r>
          </w:p>
        </w:tc>
        <w:tc>
          <w:tcPr>
            <w:tcW w:w="1056"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73"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项目4</w:t>
            </w:r>
          </w:p>
        </w:tc>
        <w:tc>
          <w:tcPr>
            <w:tcW w:w="1002"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业务工作经费</w:t>
            </w:r>
          </w:p>
        </w:tc>
        <w:tc>
          <w:tcPr>
            <w:tcW w:w="3331"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春节、端午节节气资金</w:t>
            </w:r>
          </w:p>
        </w:tc>
        <w:tc>
          <w:tcPr>
            <w:tcW w:w="942" w:type="dxa"/>
            <w:noWrap w:val="0"/>
            <w:vAlign w:val="center"/>
          </w:tcPr>
          <w:p>
            <w:pPr>
              <w:spacing w:line="240" w:lineRule="auto"/>
              <w:jc w:val="both"/>
              <w:rPr>
                <w:rFonts w:hint="eastAsia" w:ascii="Times New Roman" w:hAnsi="Times New Roman" w:cs="Times New Roman"/>
                <w:sz w:val="24"/>
                <w:szCs w:val="24"/>
                <w:vertAlign w:val="baseline"/>
                <w:lang w:val="en-US" w:eastAsia="zh-CN"/>
              </w:rPr>
            </w:pPr>
          </w:p>
        </w:tc>
        <w:tc>
          <w:tcPr>
            <w:tcW w:w="997" w:type="dxa"/>
            <w:noWrap w:val="0"/>
            <w:vAlign w:val="center"/>
          </w:tcPr>
          <w:p>
            <w:pPr>
              <w:spacing w:line="240" w:lineRule="auto"/>
              <w:jc w:val="both"/>
              <w:rPr>
                <w:rFonts w:hint="eastAsia" w:ascii="Times New Roman" w:hAnsi="Times New Roman" w:cs="Times New Roman"/>
                <w:sz w:val="24"/>
                <w:szCs w:val="24"/>
                <w:vertAlign w:val="baseline"/>
                <w:lang w:val="en-US" w:eastAsia="zh-CN"/>
              </w:rPr>
            </w:pPr>
          </w:p>
        </w:tc>
        <w:tc>
          <w:tcPr>
            <w:tcW w:w="1176"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1,545.76</w:t>
            </w:r>
          </w:p>
        </w:tc>
        <w:tc>
          <w:tcPr>
            <w:tcW w:w="1056" w:type="dxa"/>
            <w:noWrap w:val="0"/>
            <w:vAlign w:val="top"/>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1,545.76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73"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项目5</w:t>
            </w:r>
          </w:p>
        </w:tc>
        <w:tc>
          <w:tcPr>
            <w:tcW w:w="1002"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业务工作经费</w:t>
            </w:r>
          </w:p>
        </w:tc>
        <w:tc>
          <w:tcPr>
            <w:tcW w:w="3331" w:type="dxa"/>
            <w:noWrap w:val="0"/>
            <w:vAlign w:val="center"/>
          </w:tcPr>
          <w:p>
            <w:pPr>
              <w:spacing w:line="240" w:lineRule="auto"/>
              <w:jc w:val="both"/>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应急物资仓库租金、编制开福区交通路网图经费、开展农村公路路政宣传经费等</w:t>
            </w:r>
          </w:p>
        </w:tc>
        <w:tc>
          <w:tcPr>
            <w:tcW w:w="942" w:type="dxa"/>
            <w:noWrap w:val="0"/>
            <w:vAlign w:val="center"/>
          </w:tcPr>
          <w:p>
            <w:pPr>
              <w:spacing w:line="240" w:lineRule="auto"/>
              <w:jc w:val="both"/>
              <w:rPr>
                <w:rFonts w:hint="eastAsia" w:ascii="Times New Roman" w:hAnsi="Times New Roman" w:cs="Times New Roman"/>
                <w:sz w:val="24"/>
                <w:szCs w:val="24"/>
                <w:vertAlign w:val="baseline"/>
                <w:lang w:val="en-US" w:eastAsia="zh-CN"/>
              </w:rPr>
            </w:pPr>
          </w:p>
        </w:tc>
        <w:tc>
          <w:tcPr>
            <w:tcW w:w="997" w:type="dxa"/>
            <w:noWrap w:val="0"/>
            <w:vAlign w:val="center"/>
          </w:tcPr>
          <w:p>
            <w:pPr>
              <w:spacing w:line="240" w:lineRule="auto"/>
              <w:jc w:val="both"/>
              <w:rPr>
                <w:rFonts w:hint="eastAsia" w:ascii="Times New Roman" w:hAnsi="Times New Roman" w:cs="Times New Roman"/>
                <w:sz w:val="24"/>
                <w:szCs w:val="24"/>
                <w:vertAlign w:val="baseline"/>
                <w:lang w:val="en-US" w:eastAsia="zh-CN"/>
              </w:rPr>
            </w:pPr>
          </w:p>
        </w:tc>
        <w:tc>
          <w:tcPr>
            <w:tcW w:w="1176" w:type="dxa"/>
            <w:noWrap w:val="0"/>
            <w:vAlign w:val="top"/>
          </w:tcPr>
          <w:p>
            <w:pPr>
              <w:spacing w:line="240" w:lineRule="auto"/>
              <w:jc w:val="both"/>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143.49</w:t>
            </w:r>
          </w:p>
        </w:tc>
        <w:tc>
          <w:tcPr>
            <w:tcW w:w="1056" w:type="dxa"/>
            <w:noWrap w:val="0"/>
            <w:vAlign w:val="top"/>
          </w:tcPr>
          <w:p>
            <w:pPr>
              <w:spacing w:line="240" w:lineRule="auto"/>
              <w:jc w:val="both"/>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73"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项目6</w:t>
            </w:r>
          </w:p>
        </w:tc>
        <w:tc>
          <w:tcPr>
            <w:tcW w:w="1002"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业务工作经费</w:t>
            </w:r>
          </w:p>
        </w:tc>
        <w:tc>
          <w:tcPr>
            <w:tcW w:w="3331"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省、市级专项补助经费</w:t>
            </w:r>
          </w:p>
        </w:tc>
        <w:tc>
          <w:tcPr>
            <w:tcW w:w="942" w:type="dxa"/>
            <w:noWrap w:val="0"/>
            <w:vAlign w:val="center"/>
          </w:tcPr>
          <w:p>
            <w:pPr>
              <w:spacing w:line="240" w:lineRule="auto"/>
              <w:jc w:val="both"/>
              <w:rPr>
                <w:rFonts w:hint="eastAsia" w:ascii="Times New Roman" w:hAnsi="Times New Roman" w:cs="Times New Roman"/>
                <w:sz w:val="24"/>
                <w:szCs w:val="24"/>
                <w:vertAlign w:val="baseline"/>
                <w:lang w:val="en-US" w:eastAsia="zh-CN"/>
              </w:rPr>
            </w:pPr>
          </w:p>
        </w:tc>
        <w:tc>
          <w:tcPr>
            <w:tcW w:w="997" w:type="dxa"/>
            <w:noWrap w:val="0"/>
            <w:vAlign w:val="center"/>
          </w:tcPr>
          <w:p>
            <w:pPr>
              <w:spacing w:line="240" w:lineRule="auto"/>
              <w:jc w:val="both"/>
              <w:rPr>
                <w:rFonts w:hint="eastAsia" w:ascii="Times New Roman" w:hAnsi="Times New Roman" w:cs="Times New Roman"/>
                <w:sz w:val="24"/>
                <w:szCs w:val="24"/>
                <w:vertAlign w:val="baseline"/>
                <w:lang w:val="en-US" w:eastAsia="zh-CN"/>
              </w:rPr>
            </w:pPr>
          </w:p>
        </w:tc>
        <w:tc>
          <w:tcPr>
            <w:tcW w:w="1176" w:type="dxa"/>
            <w:noWrap w:val="0"/>
            <w:vAlign w:val="center"/>
          </w:tcPr>
          <w:p>
            <w:pPr>
              <w:keepNext w:val="0"/>
              <w:keepLines w:val="0"/>
              <w:widowControl/>
              <w:suppressLineNumbers w:val="0"/>
              <w:spacing w:line="240" w:lineRule="auto"/>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eastAsia" w:ascii="Times New Roman" w:hAnsi="Times New Roman" w:cs="Times New Roman"/>
                <w:sz w:val="24"/>
                <w:szCs w:val="24"/>
                <w:vertAlign w:val="baseline"/>
                <w:lang w:val="en-US" w:eastAsia="zh-CN"/>
              </w:rPr>
              <w:t>1,002.10</w:t>
            </w:r>
            <w:r>
              <w:rPr>
                <w:rFonts w:hint="default" w:ascii="Times New Roman" w:hAnsi="Times New Roman" w:cs="Times New Roman"/>
                <w:sz w:val="24"/>
                <w:szCs w:val="24"/>
                <w:vertAlign w:val="baseline"/>
                <w:lang w:val="en-US" w:eastAsia="zh-CN"/>
              </w:rPr>
              <w:t xml:space="preserve"> </w:t>
            </w:r>
          </w:p>
        </w:tc>
        <w:tc>
          <w:tcPr>
            <w:tcW w:w="1056" w:type="dxa"/>
            <w:noWrap w:val="0"/>
            <w:vAlign w:val="center"/>
          </w:tcPr>
          <w:p>
            <w:pPr>
              <w:spacing w:line="240" w:lineRule="auto"/>
              <w:jc w:val="both"/>
              <w:rPr>
                <w:rFonts w:hint="eastAsia"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406" w:type="dxa"/>
            <w:gridSpan w:val="3"/>
            <w:noWrap w:val="0"/>
            <w:vAlign w:val="center"/>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ab/>
            </w:r>
            <w:r>
              <w:rPr>
                <w:rFonts w:hint="eastAsia" w:ascii="Times New Roman" w:hAnsi="Times New Roman" w:cs="Times New Roman"/>
                <w:sz w:val="24"/>
                <w:szCs w:val="24"/>
                <w:vertAlign w:val="baseline"/>
                <w:lang w:val="en-US" w:eastAsia="zh-CN"/>
              </w:rPr>
              <w:t>合计</w:t>
            </w:r>
          </w:p>
        </w:tc>
        <w:tc>
          <w:tcPr>
            <w:tcW w:w="942" w:type="dxa"/>
            <w:noWrap w:val="0"/>
            <w:vAlign w:val="center"/>
          </w:tcPr>
          <w:p>
            <w:pPr>
              <w:spacing w:line="240" w:lineRule="auto"/>
              <w:jc w:val="both"/>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647.00</w:t>
            </w:r>
          </w:p>
        </w:tc>
        <w:tc>
          <w:tcPr>
            <w:tcW w:w="997" w:type="dxa"/>
            <w:noWrap w:val="0"/>
            <w:vAlign w:val="center"/>
          </w:tcPr>
          <w:p>
            <w:pPr>
              <w:spacing w:line="240" w:lineRule="auto"/>
              <w:jc w:val="both"/>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647.00</w:t>
            </w:r>
          </w:p>
        </w:tc>
        <w:tc>
          <w:tcPr>
            <w:tcW w:w="1176" w:type="dxa"/>
            <w:noWrap w:val="0"/>
            <w:vAlign w:val="center"/>
          </w:tcPr>
          <w:p>
            <w:pPr>
              <w:spacing w:line="240" w:lineRule="auto"/>
              <w:jc w:val="both"/>
              <w:rPr>
                <w:rFonts w:hint="eastAsia"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 xml:space="preserve"> 3,118.22 </w:t>
            </w:r>
          </w:p>
        </w:tc>
        <w:tc>
          <w:tcPr>
            <w:tcW w:w="1056" w:type="dxa"/>
            <w:noWrap w:val="0"/>
            <w:vAlign w:val="center"/>
          </w:tcPr>
          <w:p>
            <w:pPr>
              <w:spacing w:line="240" w:lineRule="auto"/>
              <w:jc w:val="both"/>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2,116.12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lang w:eastAsia="zh-CN"/>
        </w:rPr>
        <w:t>（二）项目绩效</w:t>
      </w:r>
      <w:r>
        <w:rPr>
          <w:rFonts w:ascii="Times New Roman" w:hAnsi="Times New Roman" w:eastAsia="楷体_GB2312" w:cs="Times New Roman"/>
          <w:b w:val="0"/>
          <w:bCs/>
          <w:sz w:val="32"/>
          <w:szCs w:val="32"/>
        </w:rPr>
        <w:t>目标</w:t>
      </w:r>
      <w:r>
        <w:rPr>
          <w:rFonts w:hint="eastAsia" w:ascii="Times New Roman" w:hAnsi="Times New Roman" w:eastAsia="楷体_GB2312" w:cs="Times New Roman"/>
          <w:b w:val="0"/>
          <w:bCs/>
          <w:sz w:val="32"/>
          <w:szCs w:val="32"/>
          <w:lang w:eastAsia="zh-CN"/>
        </w:rPr>
        <w:t>情况</w:t>
      </w:r>
    </w:p>
    <w:p>
      <w:pPr>
        <w:widowControl/>
        <w:snapToGrid w:val="0"/>
        <w:spacing w:line="560" w:lineRule="exact"/>
        <w:ind w:firstLine="640" w:firstLineChars="200"/>
        <w:jc w:val="left"/>
        <w:rPr>
          <w:rFonts w:hint="eastAsia" w:ascii="仿宋_GB2312" w:hAnsi="仿宋" w:cs="仿宋"/>
          <w:sz w:val="32"/>
          <w:szCs w:val="32"/>
          <w:lang w:val="en-US" w:eastAsia="zh-CN"/>
        </w:rPr>
      </w:pPr>
      <w:r>
        <w:rPr>
          <w:rFonts w:hint="eastAsia" w:ascii="仿宋_GB2312" w:hAnsi="仿宋" w:cs="仿宋"/>
          <w:sz w:val="32"/>
          <w:szCs w:val="32"/>
          <w:lang w:val="en-US" w:eastAsia="zh-CN"/>
        </w:rPr>
        <w:t>2021年项目绩效目标情况如下：</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 w:eastAsia="仿宋_GB2312" w:cs="仿宋"/>
          <w:kern w:val="2"/>
          <w:sz w:val="32"/>
          <w:szCs w:val="32"/>
          <w:lang w:val="en-US" w:eastAsia="zh-CN" w:bidi="ar-SA"/>
        </w:rPr>
      </w:pPr>
      <w:r>
        <w:rPr>
          <w:rFonts w:hint="eastAsia" w:ascii="仿宋_GB2312" w:hAnsi="仿宋" w:cs="仿宋"/>
          <w:kern w:val="2"/>
          <w:sz w:val="32"/>
          <w:szCs w:val="32"/>
          <w:lang w:val="en-US" w:eastAsia="zh-CN" w:bidi="ar-SA"/>
        </w:rPr>
        <w:t>1.</w:t>
      </w:r>
      <w:r>
        <w:rPr>
          <w:rFonts w:hint="default" w:ascii="仿宋_GB2312" w:hAnsi="仿宋" w:eastAsia="仿宋_GB2312" w:cs="仿宋"/>
          <w:kern w:val="2"/>
          <w:sz w:val="32"/>
          <w:szCs w:val="32"/>
          <w:lang w:val="en-US" w:eastAsia="zh-CN" w:bidi="ar-SA"/>
        </w:rPr>
        <w:t>通过安全教育培训、应急演练加强辖区内从业人员的安全法律意识，规范安全生产工作，提高企业，民众在面对突发紧急安全事故时有效面对、处置事故的能力，及时止损，自救，提高企业安全管理水平，浓厚安全氛围，提高全民安全意识，确保道路运输安全有序。</w:t>
      </w:r>
      <w:r>
        <w:rPr>
          <w:rFonts w:hint="eastAsia" w:ascii="仿宋_GB2312" w:hAnsi="仿宋" w:cs="仿宋"/>
          <w:kern w:val="2"/>
          <w:sz w:val="32"/>
          <w:szCs w:val="32"/>
          <w:lang w:val="en-US" w:eastAsia="zh-CN" w:bidi="ar-SA"/>
        </w:rPr>
        <w:t>预计</w:t>
      </w:r>
      <w:r>
        <w:rPr>
          <w:rFonts w:hint="eastAsia" w:ascii="仿宋_GB2312" w:hAnsi="仿宋_GB2312" w:eastAsia="仿宋_GB2312" w:cs="仿宋_GB2312"/>
          <w:color w:val="auto"/>
          <w:sz w:val="32"/>
          <w:szCs w:val="32"/>
        </w:rPr>
        <w:t>完成</w:t>
      </w:r>
      <w:r>
        <w:rPr>
          <w:rFonts w:hint="eastAsia" w:ascii="仿宋_GB2312" w:hAnsi="仿宋_GB2312" w:cs="仿宋_GB2312"/>
          <w:color w:val="auto"/>
          <w:sz w:val="32"/>
          <w:szCs w:val="32"/>
          <w:lang w:val="en-US" w:eastAsia="zh-CN"/>
        </w:rPr>
        <w:t>我区</w:t>
      </w:r>
      <w:r>
        <w:rPr>
          <w:rFonts w:hint="eastAsia" w:ascii="仿宋_GB2312" w:hAnsi="仿宋_GB2312" w:eastAsia="仿宋_GB2312" w:cs="仿宋_GB2312"/>
          <w:color w:val="auto"/>
          <w:sz w:val="32"/>
          <w:szCs w:val="32"/>
        </w:rPr>
        <w:t>2处临水临崖、长陡坡急弯路段等安全隐患整治，安装300余米公铁并行波形防护栏，保证我区农村公路安全畅通。开展各级段长共同巡查3</w:t>
      </w: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rPr>
        <w:t>次，排查整治安全隐患，同时，组织开展铁路安全集中宣传活动，发放宣传资料。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cs="仿宋"/>
          <w:kern w:val="2"/>
          <w:sz w:val="32"/>
          <w:szCs w:val="32"/>
          <w:lang w:val="en-US" w:eastAsia="zh-CN" w:bidi="ar-SA"/>
        </w:rPr>
        <w:t>2.</w:t>
      </w:r>
      <w:r>
        <w:rPr>
          <w:rFonts w:hint="default" w:ascii="仿宋_GB2312" w:hAnsi="仿宋" w:eastAsia="仿宋_GB2312" w:cs="仿宋"/>
          <w:kern w:val="2"/>
          <w:sz w:val="32"/>
          <w:szCs w:val="32"/>
          <w:lang w:val="en-US" w:eastAsia="zh-CN" w:bidi="ar-SA"/>
        </w:rPr>
        <w:t>在开福区内开展打非治超工作。完成市、区下达的各项打非治超任务，加强打击度，有效消除道路运输安全隐患，保障辖区内道路运输安全。按照市、区要求加大检验检测力度，提高道路运输安全。</w:t>
      </w:r>
      <w:r>
        <w:rPr>
          <w:rFonts w:hint="eastAsia" w:ascii="仿宋_GB2312" w:hAnsi="仿宋_GB2312" w:eastAsia="仿宋_GB2312" w:cs="仿宋_GB2312"/>
          <w:color w:val="auto"/>
          <w:sz w:val="32"/>
          <w:szCs w:val="32"/>
        </w:rPr>
        <w:t>对拥有5台重型车以上企业进行了质量信誉考核和安全生产检查，对上榜的39家运输</w:t>
      </w:r>
      <w:r>
        <w:rPr>
          <w:rFonts w:hint="eastAsia" w:ascii="仿宋_GB2312" w:hAnsi="仿宋_GB2312" w:cs="仿宋_GB2312"/>
          <w:color w:val="auto"/>
          <w:sz w:val="32"/>
          <w:szCs w:val="32"/>
          <w:lang w:val="en-US" w:eastAsia="zh-CN"/>
        </w:rPr>
        <w:t>企业</w:t>
      </w:r>
      <w:r>
        <w:rPr>
          <w:rFonts w:hint="eastAsia" w:ascii="仿宋_GB2312" w:hAnsi="仿宋_GB2312" w:eastAsia="仿宋_GB2312" w:cs="仿宋_GB2312"/>
          <w:color w:val="auto"/>
          <w:sz w:val="32"/>
          <w:szCs w:val="32"/>
        </w:rPr>
        <w:t>逐一上门督促，对其企业负责人开展集体约谈</w:t>
      </w:r>
      <w:r>
        <w:rPr>
          <w:rFonts w:hint="eastAsia" w:ascii="仿宋_GB2312" w:hAnsi="仿宋_GB2312" w:cs="仿宋_GB2312"/>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kern w:val="2"/>
          <w:sz w:val="32"/>
          <w:szCs w:val="32"/>
          <w:lang w:val="en-US" w:eastAsia="zh-CN" w:bidi="ar-SA"/>
        </w:rPr>
      </w:pPr>
      <w:r>
        <w:rPr>
          <w:rFonts w:hint="eastAsia" w:ascii="仿宋_GB2312" w:hAnsi="仿宋" w:cs="仿宋"/>
          <w:kern w:val="2"/>
          <w:sz w:val="32"/>
          <w:szCs w:val="32"/>
          <w:lang w:val="en-US" w:eastAsia="zh-CN" w:bidi="ar-SA"/>
        </w:rPr>
        <w:t>3.开福区捞刀河、沙坪、青竹湖、秀峰街道四个涉农街道共145km农村公路，其中区管县道28.8km，乡道49.6km，主要村道66.6km农村公路的日常养护工作进行市场化运作。创新开福区农村公路管理和养护机制，高质量抓好农村道路的基础设施、安防设施建设，对开福区县、乡、村三级农村公路实行“市场化养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720" w:leftChars="0" w:hanging="1080" w:firstLineChars="0"/>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本部门</w:t>
      </w:r>
      <w:r>
        <w:rPr>
          <w:rFonts w:hint="eastAsia"/>
          <w:color w:val="auto"/>
          <w:sz w:val="32"/>
          <w:szCs w:val="32"/>
        </w:rPr>
        <w:t>在预算申报时按规定程序申请</w:t>
      </w:r>
      <w:r>
        <w:rPr>
          <w:rFonts w:hint="eastAsia"/>
          <w:color w:val="auto"/>
          <w:sz w:val="32"/>
          <w:szCs w:val="32"/>
          <w:lang w:eastAsia="zh-CN"/>
        </w:rPr>
        <w:t>各项目经费，</w:t>
      </w:r>
      <w:r>
        <w:rPr>
          <w:rFonts w:hint="eastAsia"/>
          <w:color w:val="auto"/>
          <w:sz w:val="32"/>
          <w:szCs w:val="32"/>
        </w:rPr>
        <w:t>经费开支坚持“先审批、后开支，谁开支、谁负责，谁分管、谁把关”的原则</w:t>
      </w:r>
      <w:r>
        <w:rPr>
          <w:rFonts w:hint="eastAsia"/>
          <w:color w:val="auto"/>
          <w:sz w:val="32"/>
          <w:szCs w:val="32"/>
          <w:lang w:eastAsia="zh-CN"/>
        </w:rPr>
        <w:t>，</w:t>
      </w:r>
      <w:r>
        <w:rPr>
          <w:rFonts w:hint="eastAsia" w:ascii="Times New Roman" w:hAnsi="Times New Roman" w:cs="Times New Roman"/>
          <w:color w:val="auto"/>
          <w:sz w:val="32"/>
          <w:szCs w:val="32"/>
          <w:lang w:val="en-US" w:eastAsia="zh-CN"/>
        </w:rPr>
        <w:t>严格按照规定标准和程序分配资金，严格按照规定的用途和计划使用资金，资金管理和会计核算规范，无资金浪费行为和挤占挪用或套取资金现象。</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绩效评价工作情况</w:t>
      </w:r>
    </w:p>
    <w:p>
      <w:pPr>
        <w:spacing w:line="560" w:lineRule="exact"/>
        <w:ind w:firstLine="640" w:firstLineChars="200"/>
        <w:rPr>
          <w:rFonts w:hint="eastAsia"/>
          <w:color w:val="auto"/>
          <w:lang w:eastAsia="zh-CN"/>
        </w:rPr>
      </w:pPr>
      <w:r>
        <w:rPr>
          <w:rFonts w:hint="eastAsia" w:ascii="仿宋" w:hAnsi="仿宋" w:eastAsia="仿宋" w:cs="宋体"/>
          <w:color w:val="auto"/>
          <w:kern w:val="0"/>
          <w:sz w:val="32"/>
          <w:szCs w:val="32"/>
          <w:lang w:val="en-US" w:eastAsia="zh-CN"/>
        </w:rPr>
        <w:t>本部门</w:t>
      </w:r>
      <w:r>
        <w:rPr>
          <w:rFonts w:hint="eastAsia" w:ascii="仿宋" w:hAnsi="仿宋" w:eastAsia="仿宋" w:cs="宋体"/>
          <w:color w:val="auto"/>
          <w:kern w:val="0"/>
          <w:sz w:val="32"/>
          <w:szCs w:val="32"/>
        </w:rPr>
        <w:t>已制定或具有相应的项目资金管理办法；项目资金管理办法符合相关财务会计制度的规定。符合国家财经法规和财务管理制度以及有关预算支出管理办法的规定；资金的拨付有完整的审批程序和手续；项目的重大开支经过评估认证；符合项目预算批复或合同规定的用途；不存在截留、挤占、挪用、虚列支出等情况。已制定或具有相应的监控机制；采取了相应的财务检查、绩效监控等必要的监控措施或手段。原始凭据齐全，会计资料反映的具体开支内容、对象、用途等清晰；按要求实行项目专账核算，专项开支账目清晰、完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360" w:leftChars="0" w:hanging="720" w:firstLineChars="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主要绩效</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default" w:ascii="仿宋_GB2312" w:hAnsi="仿宋_GB2312" w:cs="仿宋_GB2312"/>
          <w:color w:val="auto"/>
          <w:sz w:val="32"/>
          <w:szCs w:val="32"/>
          <w:lang w:val="en-US" w:eastAsia="zh-CN"/>
        </w:rPr>
      </w:pPr>
      <w:r>
        <w:rPr>
          <w:rFonts w:hint="eastAsia" w:ascii="仿宋_GB2312" w:hAnsi="仿宋_GB2312" w:eastAsia="仿宋_GB2312" w:cs="仿宋_GB2312"/>
          <w:color w:val="auto"/>
          <w:sz w:val="32"/>
          <w:szCs w:val="32"/>
        </w:rPr>
        <w:t>2021年以来，我局始终坚持以习近平新时代中国特色社会主义思想为指导，以</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交通强国建设实施纲要为统领，紧</w:t>
      </w:r>
      <w:r>
        <w:rPr>
          <w:rFonts w:hint="eastAsia" w:ascii="仿宋_GB2312" w:hAnsi="仿宋_GB2312" w:eastAsia="仿宋_GB2312" w:cs="仿宋_GB2312"/>
          <w:color w:val="auto"/>
          <w:sz w:val="32"/>
          <w:szCs w:val="32"/>
          <w:lang w:val="en-US" w:eastAsia="zh-CN"/>
        </w:rPr>
        <w:t>紧围绕</w:t>
      </w:r>
      <w:r>
        <w:rPr>
          <w:rFonts w:hint="eastAsia" w:ascii="仿宋_GB2312" w:hAnsi="仿宋_GB2312" w:eastAsia="仿宋_GB2312" w:cs="仿宋_GB2312"/>
          <w:color w:val="auto"/>
          <w:sz w:val="32"/>
          <w:szCs w:val="32"/>
        </w:rPr>
        <w:t>区委区政府“践行三高四新，奋力迈向北强”的战略目标</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完成了如下绩效目标：</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color w:val="auto"/>
          <w:sz w:val="32"/>
          <w:szCs w:val="32"/>
        </w:rPr>
        <w:t>整合力量，</w:t>
      </w:r>
      <w:r>
        <w:rPr>
          <w:rFonts w:hint="eastAsia" w:ascii="仿宋_GB2312" w:hAnsi="仿宋_GB2312" w:eastAsia="仿宋_GB2312" w:cs="仿宋_GB2312"/>
          <w:color w:val="auto"/>
          <w:sz w:val="32"/>
          <w:szCs w:val="32"/>
          <w:lang w:val="en-US" w:eastAsia="zh-CN"/>
        </w:rPr>
        <w:t>强力推进</w:t>
      </w:r>
      <w:r>
        <w:rPr>
          <w:rFonts w:hint="eastAsia" w:ascii="仿宋_GB2312" w:hAnsi="仿宋_GB2312" w:eastAsia="仿宋_GB2312" w:cs="仿宋_GB2312"/>
          <w:color w:val="auto"/>
          <w:sz w:val="32"/>
          <w:szCs w:val="32"/>
        </w:rPr>
        <w:t>安全隐患治理</w:t>
      </w:r>
      <w:r>
        <w:rPr>
          <w:rFonts w:hint="eastAsia" w:ascii="仿宋_GB2312" w:hAnsi="仿宋_GB2312" w:eastAsia="仿宋_GB2312" w:cs="仿宋_GB2312"/>
          <w:color w:val="auto"/>
          <w:sz w:val="32"/>
          <w:szCs w:val="32"/>
          <w:lang w:val="en-US" w:eastAsia="zh-CN"/>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①</w:t>
      </w:r>
      <w:r>
        <w:rPr>
          <w:rFonts w:hint="eastAsia" w:ascii="仿宋_GB2312" w:hAnsi="仿宋_GB2312" w:eastAsia="仿宋_GB2312" w:cs="仿宋_GB2312"/>
          <w:color w:val="auto"/>
          <w:sz w:val="32"/>
          <w:szCs w:val="32"/>
        </w:rPr>
        <w:t>加强交通顽瘴痼疾整治。统筹制定交通问题顽瘴痼疾整治方案，持续深入推进隐患排查整治。上半年，共完成42处临水临崖、长陡坡急弯路段等安全隐患整治，安装300余米公铁并行波形防护栏，保证我区农村公路安全畅通。今年以来，共抄告市交通运输执法部门20次、下达整改通知30余份、电话约谈20余次。</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②</w:t>
      </w:r>
      <w:r>
        <w:rPr>
          <w:rFonts w:hint="eastAsia" w:ascii="仿宋_GB2312" w:hAnsi="仿宋_GB2312" w:eastAsia="仿宋_GB2312" w:cs="仿宋_GB2312"/>
          <w:color w:val="auto"/>
          <w:sz w:val="32"/>
          <w:szCs w:val="32"/>
        </w:rPr>
        <w:t>加强铁路安全环境整治。建立完善铁路“双段长”路地协作工作机制，推进《湖南省铁路安全管理条例》等法规宣贯，统筹督促相关单位按时、按质、按量完成上级交办的铁路沿线安全隐患整治任务。今年以来，我局牵头涉铁街道和铁路部门陆续开展各级段长共同巡查35次，现地排查整治安全隐患30余处，同时，组织开展铁路安全集中宣传活动2次，发放宣传资料2000余份。</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③加强治超治限专项整治。一是管控源头。加强与各源头单位的对接，将更多数据接入市、区治超信息管理平台及货运车辆监管平台。二是联动执法。落实治超责任，强化部门联动，齐抓共管、形成合力，共同推进治超工作的开展。三是数据共享。整合市交通事务中心、市危货监管平台、区源头治超信息监管平台数据。截至12月10日，我局共对126余家运输企业开展警示约谈，50余家货运经营者进行电话约谈，联合市交通开福执法大队、区交警大队对辖区“两客一危”企业开展联合检查24次，对68处突出安全隐患进行了闭环整改，通过检查督促，提升企业安全生产工作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color w:val="auto"/>
          <w:sz w:val="32"/>
          <w:szCs w:val="32"/>
        </w:rPr>
        <w:t>协调联动，</w:t>
      </w:r>
      <w:r>
        <w:rPr>
          <w:rFonts w:hint="eastAsia" w:ascii="仿宋_GB2312" w:hAnsi="仿宋_GB2312" w:eastAsia="仿宋_GB2312" w:cs="仿宋_GB2312"/>
          <w:color w:val="auto"/>
          <w:sz w:val="32"/>
          <w:szCs w:val="32"/>
          <w:lang w:val="en-US" w:eastAsia="zh-CN"/>
        </w:rPr>
        <w:t>不断</w:t>
      </w:r>
      <w:r>
        <w:rPr>
          <w:rFonts w:hint="eastAsia" w:ascii="仿宋_GB2312" w:hAnsi="仿宋_GB2312" w:eastAsia="仿宋_GB2312" w:cs="仿宋_GB2312"/>
          <w:color w:val="auto"/>
          <w:sz w:val="32"/>
          <w:szCs w:val="32"/>
        </w:rPr>
        <w:t>深化行业监管服务</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color w:val="auto"/>
          <w:kern w:val="2"/>
          <w:sz w:val="32"/>
          <w:szCs w:val="32"/>
          <w:lang w:val="en-US" w:eastAsia="zh-CN" w:bidi="ar-SA"/>
        </w:rPr>
        <w:t>①规范行政审批备案工作。一是加快数字化办公建设，打造“一网通办”的政务服务品牌，让群众体验到更多有速度、有力度、有温度的“审批服务”。二是加快道路货物运输市场诚信体系建设，进一步规范道路运输企业经营行为。今年以来，共审批道路运输企业63家，新增道路运输经营业户163家、道路运输车辆977台；完成2875台车辆的道路运输证年审、44家维修企业维修备案工作；依法注销59家不合规企业、50家个体业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②</w:t>
      </w:r>
      <w:r>
        <w:rPr>
          <w:rFonts w:hint="eastAsia" w:ascii="仿宋_GB2312" w:hAnsi="仿宋_GB2312" w:eastAsia="仿宋_GB2312" w:cs="仿宋_GB2312"/>
          <w:color w:val="auto"/>
          <w:kern w:val="2"/>
          <w:sz w:val="32"/>
          <w:szCs w:val="32"/>
          <w:lang w:val="en-US" w:eastAsia="zh-CN" w:bidi="ar-SA"/>
        </w:rPr>
        <w:t>做好普货运输监管服务。按照安全生产“三个必须”的要求，我局对所有在册企业进行了摸排走访，建立企业服务群，定期开展安全生产政策法规的宣传。对拥有5台重型车以上企业进行了质量信誉考核和安全生产检查，督促各企业加强安全生产管理，完善安全生产制度，落实“一会三卡”等安全生产企业主体责任。2021年7-10月，针对全区交通运输企业车辆违法数据居高不下的问题，对上榜的39家企业逐一上门督促，对其企业负责人开展集体约谈，要求企业分析违法原因，拿出有效的降低违法次数的措施；对违法驾驶员进行安全教育培训，提高驾驶员安全意识，促使驾驶员安全驾驶，文明驾驶；并要求各企业提交书面整改回复资料，确保整改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③</w:t>
      </w:r>
      <w:r>
        <w:rPr>
          <w:rFonts w:hint="eastAsia" w:ascii="仿宋_GB2312" w:hAnsi="仿宋_GB2312" w:eastAsia="仿宋_GB2312" w:cs="仿宋_GB2312"/>
          <w:color w:val="auto"/>
          <w:kern w:val="2"/>
          <w:sz w:val="32"/>
          <w:szCs w:val="32"/>
          <w:lang w:val="en-US" w:eastAsia="zh-CN" w:bidi="ar-SA"/>
        </w:rPr>
        <w:t>引导汽修行业健康发展。联合市交通开福执法大队加强汽修企业备案宣传，积极推动整改。加强对4个严控区街道已经劝退关停的烤漆房日常巡查管控。联合环保部门，针对汽修企业烤漆房存在的问题要求立即整改。始终盯紧国控点周边汽修企业，加强常态管控，引导企业错峰生产，巩固蓝天保卫战胜利成果。严格落实中央环保督察交办案件办理。今年以来，我局共主办2件，协办15件，确保第一时间到场，按规范程序处置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④</w:t>
      </w:r>
      <w:r>
        <w:rPr>
          <w:rFonts w:hint="eastAsia" w:ascii="仿宋_GB2312" w:hAnsi="仿宋_GB2312" w:eastAsia="仿宋_GB2312" w:cs="仿宋_GB2312"/>
          <w:color w:val="auto"/>
          <w:kern w:val="2"/>
          <w:sz w:val="32"/>
          <w:szCs w:val="32"/>
          <w:lang w:val="en-US" w:eastAsia="zh-CN" w:bidi="ar-SA"/>
        </w:rPr>
        <w:t>优化绿色交通站点建设。根据企业或群众反映，结合党史学习教育“为民办实事”活动，适时优化调整公交线路。一是协调服务做好公交连接地铁线的接驳优化工作。为接驳地铁3、5号线，协调开福市政中心增设雅雀湖、开元路口、月湖公园北公交站点。二是协调推进公交站点港湾式改造，于年底前完成3对港湾式公交站点建设。三是协调优化公交线路，保障重点楼宇和小区的居民出行，为金色比华利增设临时公交站点，协调市局为沿河路公交始末站和福元小学公交站增设了雨棚，坐凳等设施。四是服务经济产业发展，服务北辰大悦城及周边百姓出行。争取市局支持调整6条线路，确保大悦城项目建设，为该区域购物消费提供公交出行保障。协调市公交集团对湘江世纪城周边区域做好“定制公交”交通运行方案，加强居民小区、商场与地铁、站场出入口的交通衔接，目前长沙公交集团也派人进行现场勘察论证，已上报公交微循环方案请市交通局审批，有效提升经济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US" w:eastAsia="zh-CN" w:bidi="ar-SA"/>
        </w:rPr>
        <w:t>坚持聚焦民生，不断推进农村公路建养水平；</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①</w:t>
      </w:r>
      <w:r>
        <w:rPr>
          <w:rFonts w:hint="eastAsia" w:ascii="仿宋_GB2312" w:hAnsi="仿宋_GB2312" w:eastAsia="仿宋_GB2312" w:cs="仿宋_GB2312"/>
          <w:color w:val="auto"/>
          <w:sz w:val="32"/>
          <w:szCs w:val="32"/>
        </w:rPr>
        <w:t>农村公路建设推进。2021年分三个批次完成20公里以上农村公路新改建，一是对长沙园林生态园景区进出道路全线3.5公里路网有效衔接改造；二是对汉回村、钟石社区等7.15公里乡村文化旅游公路进行路面提质改造；三是完成农村公路6.8公里连通工程和13.5公里路面中修工程，并完善安防、排水等附属设施。</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②</w:t>
      </w:r>
      <w:r>
        <w:rPr>
          <w:rFonts w:hint="eastAsia" w:ascii="仿宋_GB2312" w:hAnsi="仿宋_GB2312" w:eastAsia="仿宋_GB2312" w:cs="仿宋_GB2312"/>
          <w:color w:val="auto"/>
          <w:sz w:val="32"/>
          <w:szCs w:val="32"/>
        </w:rPr>
        <w:t>农村公路养护保障。通过深化农村公路管理养护体制改革，推进农村公路日常养护市场化，建立权责清晰、政府为主、乡村尽责、部门联动、齐抓共管的农村公路管理养护运行机制。探索将农村公路县道日常养护工作</w:t>
      </w:r>
      <w:r>
        <w:rPr>
          <w:rFonts w:hint="eastAsia" w:ascii="仿宋" w:hAnsi="仿宋" w:eastAsia="仿宋" w:cs="仿宋"/>
          <w:color w:val="auto"/>
          <w:sz w:val="32"/>
          <w:szCs w:val="32"/>
          <w:lang w:bidi="zh-TW"/>
        </w:rPr>
        <w:t>采取市场化养护模式实施服务外包；乡、村道日常养护鼓励涉农街道（社区）根据自身实际情况，采取委托社会力量和发动群众化养护的形式结合实施。</w:t>
      </w:r>
      <w:r>
        <w:rPr>
          <w:rFonts w:hint="eastAsia" w:ascii="仿宋_GB2312" w:hAnsi="仿宋_GB2312" w:eastAsia="仿宋_GB2312" w:cs="仿宋_GB2312"/>
          <w:color w:val="auto"/>
          <w:sz w:val="32"/>
          <w:szCs w:val="32"/>
        </w:rPr>
        <w:t>通过加快养护专业化进程，全面提升农村公路养护水平，逐步实现农村公路“有路必养，养必到位”。</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③</w:t>
      </w:r>
      <w:r>
        <w:rPr>
          <w:rFonts w:hint="eastAsia" w:ascii="仿宋_GB2312" w:hAnsi="仿宋_GB2312" w:eastAsia="仿宋_GB2312" w:cs="仿宋_GB2312"/>
          <w:color w:val="auto"/>
          <w:sz w:val="32"/>
          <w:szCs w:val="32"/>
        </w:rPr>
        <w:t>农村公路管理完善。全面推行农村公路“路长制”。一是制定全区农村公路“路长制”实施方案。明确由区委副书记、区长担任组长，各街道成立相应的“路长制”管理工作机构。建立农村公路“巡查、处置、督查、通报”的综合监督管理机制。二是制定工作考核办法。开福区“路长办”定期开展“路长制”工作督查，按照“全覆盖、抓重点、明责任”的要求，第一时间发现问题、交办问题、处置问题，有效解决公路路面及沿线“脏乱差”和交通隐患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4.坚持转型创新，全面促进交通事业高质量发展。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①</w:t>
      </w:r>
      <w:r>
        <w:rPr>
          <w:rFonts w:hint="eastAsia" w:ascii="仿宋_GB2312" w:hAnsi="仿宋_GB2312" w:eastAsia="仿宋_GB2312" w:cs="仿宋_GB2312"/>
          <w:color w:val="auto"/>
          <w:kern w:val="2"/>
          <w:sz w:val="32"/>
          <w:szCs w:val="32"/>
          <w:lang w:val="en-US" w:eastAsia="zh-CN" w:bidi="ar-SA"/>
        </w:rPr>
        <w:t>优化“433攻坚”项目服务。围绕区委、区政府中心工作，服务好“433”产业攻坚重大项目。对于长益复线至兴联路大通道工程项目，加快推动交通设施多层次网络化布局，使项目成为长沙北部东西向的核心发展轴；对于中南国际陆港集装箱拼箱基地项目，争取政策支持，加快推进物流交通枢纽节点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②</w:t>
      </w:r>
      <w:r>
        <w:rPr>
          <w:rFonts w:hint="eastAsia" w:ascii="仿宋_GB2312" w:hAnsi="仿宋_GB2312" w:eastAsia="仿宋_GB2312" w:cs="仿宋_GB2312"/>
          <w:color w:val="auto"/>
          <w:kern w:val="2"/>
          <w:sz w:val="32"/>
          <w:szCs w:val="32"/>
          <w:lang w:val="en-US" w:eastAsia="zh-CN" w:bidi="ar-SA"/>
        </w:rPr>
        <w:t>促进网络货运平台建设。促进“互联网+货运物流”新业态、新模式发展，大力支持网络货运平台建设，推动货运物流平台健康有序发展。支持交通运输物流企业申报网络货运平台，创新“互联网+”模式升级发展，依托互联网平台配置运输资源，优化传统物流企业管理及经营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③</w:t>
      </w:r>
      <w:r>
        <w:rPr>
          <w:rFonts w:hint="eastAsia" w:ascii="仿宋_GB2312" w:hAnsi="仿宋_GB2312" w:eastAsia="仿宋_GB2312" w:cs="仿宋_GB2312"/>
          <w:color w:val="auto"/>
          <w:kern w:val="2"/>
          <w:sz w:val="32"/>
          <w:szCs w:val="32"/>
          <w:lang w:val="en-US" w:eastAsia="zh-CN" w:bidi="ar-SA"/>
        </w:rPr>
        <w:t>引导多式联运新型业态。引导建设多式联运公共信息平台，加强与各类平台或系统的互联对接和数据调用，实现货物“公转铁、公转水”运行动态、多式联运发展状态的有效监控。加强部门协同联动，加大对多式联运示范工程项目建设的支持力度，鼓励骨干龙头企业在运输装备研发、多式联运单证统一、数据信息交换共享等方面先行先试，加速构建以长沙港为核心的集疏运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部分项目管理不够规范。一是部分项目存在前期准备资料欠缺的情况，因有的项目时间紧、任务重，无法及时备齐资料，有的项目小，虑到成本效益原则，在实际操作中很难备齐全套资料；二是部分项目绩效产出效益指标不够细化明晰。三是项目台账不够规范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2</w:t>
      </w:r>
      <w:r>
        <w:rPr>
          <w:rFonts w:hint="eastAsia" w:ascii="仿宋_GB2312" w:hAnsi="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项目资金未实行专账核算。由于未按项目进行专账核算，导致各项目资金使用情况不能一目了然。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1.规范项目管理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进一步规范项目管理，一是进一步完善项目管理规章制度，监督制度执行情况，确保有章可依，有章必依；二是进一步细化各项目的绩效指标，以反映和考核项目绩效目标的明细化情况。三是进一步提高项目资金使用效益。从项目立项到项目监督，让专业人的做专业的事，确保财政资金不白花，花在刀刃上，从而少花钱多办事，办实事、办好事。四是加强对项目的监理，争取一定金额以上的项目均采用社会监理服务，一定金额以下的项目由单位组织专业人员进行抽查监督。五是利用办公软件，做好各个项目的管理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2.规范资金核算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为提高工作效率和核算准确性，财务应尽量利用财务核算软件功能，实行项目专账核算，确保项目支出清晰完整。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六、其他需要说明的问题</w:t>
      </w:r>
    </w:p>
    <w:p>
      <w:pPr>
        <w:spacing w:line="600" w:lineRule="exact"/>
        <w:ind w:firstLine="560" w:firstLineChars="200"/>
        <w:rPr>
          <w:rFonts w:hint="default" w:eastAsia="仿宋_GB2312"/>
          <w:sz w:val="28"/>
          <w:szCs w:val="28"/>
          <w:lang w:val="en-US" w:eastAsia="zh-CN"/>
        </w:rPr>
      </w:pPr>
      <w:r>
        <w:rPr>
          <w:rFonts w:hint="eastAsia"/>
          <w:sz w:val="28"/>
          <w:szCs w:val="28"/>
          <w:lang w:val="en-US" w:eastAsia="zh-CN"/>
        </w:rPr>
        <w:t>无</w:t>
      </w:r>
    </w:p>
    <w:p>
      <w:pPr>
        <w:adjustRightInd w:val="0"/>
        <w:snapToGrid w:val="0"/>
        <w:spacing w:line="560" w:lineRule="exact"/>
        <w:rPr>
          <w:rFonts w:hint="eastAsia" w:ascii="仿宋_GB2312"/>
          <w:szCs w:val="28"/>
          <w:lang w:eastAsia="zh-CN"/>
        </w:rPr>
      </w:pPr>
    </w:p>
    <w:p/>
    <w:sectPr>
      <w:headerReference r:id="rId3" w:type="default"/>
      <w:footerReference r:id="rId4" w:type="default"/>
      <w:footerReference r:id="rId5"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sz w:val="28"/>
                              <w:szCs w:val="28"/>
                            </w:rPr>
                          </w:pPr>
                          <w:r>
                            <w:rPr>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Style w:val="11"/>
                        <w:sz w:val="28"/>
                        <w:szCs w:val="28"/>
                      </w:rPr>
                    </w:pPr>
                    <w:r>
                      <w:rPr>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N2U1ZmYyODlhMmIzOTYyMzRlMzU3NGM3MTNmNzMifQ=="/>
  </w:docVars>
  <w:rsids>
    <w:rsidRoot w:val="2A881370"/>
    <w:rsid w:val="2A881370"/>
    <w:rsid w:val="38837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文本1"/>
    <w:basedOn w:val="1"/>
    <w:qFormat/>
    <w:uiPriority w:val="0"/>
  </w:style>
  <w:style w:type="paragraph" w:styleId="3">
    <w:name w:val="Body Text"/>
    <w:basedOn w:val="1"/>
    <w:next w:val="4"/>
    <w:unhideWhenUsed/>
    <w:qFormat/>
    <w:uiPriority w:val="99"/>
    <w:pPr>
      <w:widowControl w:val="0"/>
      <w:spacing w:after="120"/>
      <w:jc w:val="both"/>
    </w:pPr>
    <w:rPr>
      <w:rFonts w:ascii="Times New Roman" w:hAnsi="Times New Roman" w:eastAsia="仿宋_GB2312" w:cs="Times New Roman"/>
      <w:kern w:val="2"/>
      <w:sz w:val="28"/>
      <w:lang w:val="en-US" w:eastAsia="zh-CN" w:bidi="ar-SA"/>
    </w:rPr>
  </w:style>
  <w:style w:type="paragraph" w:styleId="4">
    <w:name w:val="Body Text First Indent"/>
    <w:basedOn w:val="3"/>
    <w:next w:val="5"/>
    <w:qFormat/>
    <w:uiPriority w:val="99"/>
    <w:pPr>
      <w:widowControl w:val="0"/>
      <w:spacing w:after="120"/>
      <w:ind w:firstLine="420" w:firstLineChars="100"/>
      <w:jc w:val="both"/>
    </w:pPr>
    <w:rPr>
      <w:rFonts w:ascii="Times New Roman" w:hAnsi="Times New Roman" w:eastAsia="仿宋_GB2312" w:cs="Times New Roman"/>
      <w:kern w:val="2"/>
      <w:sz w:val="28"/>
      <w:lang w:val="en-US" w:eastAsia="zh-CN" w:bidi="ar-SA"/>
    </w:rPr>
  </w:style>
  <w:style w:type="paragraph" w:styleId="5">
    <w:name w:val="Body Text Indent 3"/>
    <w:basedOn w:val="1"/>
    <w:qFormat/>
    <w:uiPriority w:val="0"/>
    <w:pPr>
      <w:spacing w:after="120"/>
      <w:ind w:left="42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4545</Words>
  <Characters>4790</Characters>
  <Lines>0</Lines>
  <Paragraphs>0</Paragraphs>
  <TotalTime>0</TotalTime>
  <ScaleCrop>false</ScaleCrop>
  <LinksUpToDate>false</LinksUpToDate>
  <CharactersWithSpaces>4822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2022-09-16T06:59:00Z</dcterms:created>
  <dc:creator>交通局-财务科小戴</dc:creator>
  <cp:lastModifiedBy>交通局-财务科小戴</cp:lastModifiedBy>
  <dcterms:modified xsi:type="dcterms:W3CDTF">2022-09-16T07:01:37Z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30E67F3E3A784EDBADB6D4030C392407</vt:lpwstr>
  </property>
</Properties>
</file>