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p>
    <w:p>
      <w:pPr>
        <w:jc w:val="center"/>
        <w:rPr>
          <w:rFonts w:hint="eastAsia"/>
          <w:sz w:val="44"/>
          <w:szCs w:val="44"/>
        </w:rPr>
      </w:pPr>
      <w:r>
        <w:rPr>
          <w:rFonts w:hint="eastAsia" w:ascii="方正小标宋简体" w:eastAsia="方正小标宋简体"/>
          <w:sz w:val="44"/>
          <w:szCs w:val="44"/>
        </w:rPr>
        <w:t>部门整体支出绩效自评报告</w:t>
      </w:r>
    </w:p>
    <w:p>
      <w:pPr>
        <w:jc w:val="center"/>
        <w:rPr>
          <w:rFonts w:hint="eastAsia" w:ascii="楷体_GB2312" w:eastAsia="楷体_GB2312"/>
          <w:sz w:val="32"/>
          <w:szCs w:val="32"/>
        </w:rPr>
      </w:pPr>
      <w:bookmarkStart w:id="0" w:name="_GoBack"/>
      <w:bookmarkEnd w:id="0"/>
    </w:p>
    <w:p>
      <w:pPr>
        <w:pStyle w:val="10"/>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val="en-US" w:eastAsia="zh-CN"/>
        </w:rPr>
      </w:pPr>
      <w:r>
        <w:rPr>
          <w:rFonts w:hint="eastAsia" w:hAnsi="宋体" w:cs="宋体"/>
          <w:color w:val="000000"/>
          <w:kern w:val="0"/>
          <w:sz w:val="32"/>
          <w:szCs w:val="32"/>
          <w:lang w:val="en-US" w:eastAsia="zh-CN"/>
        </w:rPr>
        <w:t>在职人员情况</w:t>
      </w:r>
    </w:p>
    <w:p>
      <w:pPr>
        <w:spacing w:line="520" w:lineRule="exact"/>
        <w:ind w:firstLine="640" w:firstLineChars="200"/>
        <w:rPr>
          <w:rFonts w:hint="eastAsia" w:hAnsi="宋体" w:eastAsia="仿宋_GB2312" w:cs="宋体"/>
          <w:color w:val="000000"/>
          <w:kern w:val="0"/>
          <w:sz w:val="32"/>
          <w:szCs w:val="32"/>
          <w:lang w:val="en-US" w:eastAsia="zh-CN"/>
        </w:rPr>
      </w:pPr>
      <w:r>
        <w:rPr>
          <w:rFonts w:hint="eastAsia" w:eastAsia="仿宋_GB2312"/>
          <w:bCs/>
          <w:sz w:val="32"/>
          <w:szCs w:val="32"/>
        </w:rPr>
        <w:t>截止至20</w:t>
      </w:r>
      <w:r>
        <w:rPr>
          <w:rFonts w:hint="eastAsia" w:eastAsia="仿宋_GB2312"/>
          <w:bCs/>
          <w:sz w:val="32"/>
          <w:szCs w:val="32"/>
          <w:lang w:val="en-US" w:eastAsia="zh-CN"/>
        </w:rPr>
        <w:t>2</w:t>
      </w:r>
      <w:r>
        <w:rPr>
          <w:rFonts w:hint="eastAsia"/>
          <w:bCs/>
          <w:sz w:val="32"/>
          <w:szCs w:val="32"/>
          <w:lang w:val="en-US" w:eastAsia="zh-CN"/>
        </w:rPr>
        <w:t>1</w:t>
      </w:r>
      <w:r>
        <w:rPr>
          <w:rFonts w:hint="eastAsia" w:eastAsia="仿宋_GB2312"/>
          <w:bCs/>
          <w:sz w:val="32"/>
          <w:szCs w:val="32"/>
        </w:rPr>
        <w:t>年12月31日，</w:t>
      </w:r>
      <w:r>
        <w:rPr>
          <w:rFonts w:hint="eastAsia" w:hAnsi="宋体" w:cs="宋体"/>
          <w:color w:val="000000"/>
          <w:kern w:val="0"/>
          <w:sz w:val="32"/>
          <w:szCs w:val="32"/>
          <w:lang w:val="en-US" w:eastAsia="zh-CN"/>
        </w:rPr>
        <w:t>本部门</w:t>
      </w:r>
      <w:r>
        <w:rPr>
          <w:rFonts w:hint="eastAsia" w:ascii="Times New Roman" w:hAnsi="宋体" w:cs="宋体"/>
          <w:color w:val="000000"/>
          <w:kern w:val="0"/>
          <w:sz w:val="32"/>
          <w:szCs w:val="32"/>
        </w:rPr>
        <w:t>在职人数</w:t>
      </w:r>
      <w:r>
        <w:rPr>
          <w:rFonts w:hint="eastAsia" w:ascii="Times New Roman" w:hAnsi="宋体" w:cs="宋体"/>
          <w:color w:val="000000"/>
          <w:kern w:val="0"/>
          <w:sz w:val="32"/>
          <w:szCs w:val="32"/>
          <w:lang w:val="en-US" w:eastAsia="zh-CN"/>
        </w:rPr>
        <w:t>27</w:t>
      </w:r>
      <w:r>
        <w:rPr>
          <w:rFonts w:hint="eastAsia" w:ascii="Times New Roman" w:hAnsi="宋体" w:cs="宋体"/>
          <w:color w:val="000000"/>
          <w:kern w:val="0"/>
          <w:sz w:val="32"/>
          <w:szCs w:val="32"/>
        </w:rPr>
        <w:t>人，其中：行政人员</w:t>
      </w:r>
      <w:r>
        <w:rPr>
          <w:rFonts w:hint="eastAsia" w:ascii="Times New Roman" w:hAnsi="宋体" w:cs="宋体"/>
          <w:color w:val="000000"/>
          <w:kern w:val="0"/>
          <w:sz w:val="32"/>
          <w:szCs w:val="32"/>
          <w:lang w:val="en-US" w:eastAsia="zh-CN"/>
        </w:rPr>
        <w:t>8</w:t>
      </w:r>
      <w:r>
        <w:rPr>
          <w:rFonts w:hint="eastAsia" w:ascii="Times New Roman" w:hAnsi="宋体" w:cs="宋体"/>
          <w:color w:val="000000"/>
          <w:kern w:val="0"/>
          <w:sz w:val="32"/>
          <w:szCs w:val="32"/>
        </w:rPr>
        <w:t>人</w:t>
      </w:r>
      <w:r>
        <w:rPr>
          <w:rFonts w:hint="eastAsia" w:ascii="Times New Roman" w:hAnsi="宋体" w:cs="宋体"/>
          <w:color w:val="000000"/>
          <w:kern w:val="0"/>
          <w:sz w:val="32"/>
          <w:szCs w:val="32"/>
          <w:lang w:eastAsia="zh-CN"/>
        </w:rPr>
        <w:t>，</w:t>
      </w:r>
      <w:r>
        <w:rPr>
          <w:rFonts w:hint="eastAsia" w:ascii="Times New Roman" w:hAnsi="宋体" w:cs="宋体"/>
          <w:color w:val="000000"/>
          <w:kern w:val="0"/>
          <w:sz w:val="32"/>
          <w:szCs w:val="32"/>
        </w:rPr>
        <w:t>参照公务员法管理事业人员1</w:t>
      </w:r>
      <w:r>
        <w:rPr>
          <w:rFonts w:hint="eastAsia" w:ascii="Times New Roman" w:hAnsi="宋体" w:cs="宋体"/>
          <w:color w:val="000000"/>
          <w:kern w:val="0"/>
          <w:sz w:val="32"/>
          <w:szCs w:val="32"/>
          <w:lang w:val="en-US" w:eastAsia="zh-CN"/>
        </w:rPr>
        <w:t>9</w:t>
      </w:r>
      <w:r>
        <w:rPr>
          <w:rFonts w:hint="eastAsia" w:ascii="Times New Roman" w:hAnsi="宋体" w:cs="宋体"/>
          <w:color w:val="000000"/>
          <w:kern w:val="0"/>
          <w:sz w:val="32"/>
          <w:szCs w:val="32"/>
        </w:rPr>
        <w:t>人</w:t>
      </w:r>
      <w:r>
        <w:rPr>
          <w:rFonts w:hint="eastAsia" w:ascii="Times New Roman" w:hAnsi="宋体" w:cs="宋体"/>
          <w:color w:val="000000"/>
          <w:kern w:val="0"/>
          <w:sz w:val="32"/>
          <w:szCs w:val="32"/>
          <w:lang w:eastAsia="zh-CN"/>
        </w:rPr>
        <w:t>；</w:t>
      </w:r>
      <w:r>
        <w:rPr>
          <w:rFonts w:hint="eastAsia" w:ascii="Times New Roman" w:hAnsi="宋体" w:cs="宋体"/>
          <w:color w:val="000000"/>
          <w:kern w:val="0"/>
          <w:sz w:val="32"/>
          <w:szCs w:val="32"/>
          <w:lang w:val="en-US" w:eastAsia="zh-CN"/>
        </w:rPr>
        <w:t>聘用人员10人，市驻区交通执法大队聘用人员20名</w:t>
      </w:r>
      <w:r>
        <w:rPr>
          <w:rFonts w:hint="eastAsia" w:ascii="Times New Roman" w:hAnsi="宋体" w:cs="宋体"/>
          <w:color w:val="000000"/>
          <w:kern w:val="0"/>
          <w:sz w:val="32"/>
          <w:szCs w:val="32"/>
          <w:lang w:eastAsia="zh-CN"/>
        </w:rPr>
        <w:t>；</w:t>
      </w:r>
      <w:r>
        <w:rPr>
          <w:rFonts w:hint="eastAsia" w:ascii="Times New Roman" w:hAnsi="宋体" w:cs="宋体"/>
          <w:color w:val="000000"/>
          <w:kern w:val="0"/>
          <w:sz w:val="32"/>
          <w:szCs w:val="32"/>
          <w:lang w:val="en-US" w:eastAsia="zh-CN"/>
        </w:rPr>
        <w:t>退休人员13人</w:t>
      </w:r>
      <w:r>
        <w:rPr>
          <w:rFonts w:hint="eastAsia" w:ascii="Times New Roman" w:hAnsi="宋体" w:cs="宋体"/>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lang w:val="en-US" w:eastAsia="zh-CN"/>
        </w:rPr>
        <w:t>2、</w:t>
      </w:r>
      <w:r>
        <w:rPr>
          <w:rFonts w:hint="eastAsia" w:hAnsi="宋体" w:cs="宋体"/>
          <w:color w:val="000000"/>
          <w:kern w:val="0"/>
          <w:sz w:val="32"/>
          <w:szCs w:val="32"/>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eastAsia="仿宋_GB2312" w:cs="宋体"/>
          <w:color w:val="000000"/>
          <w:kern w:val="0"/>
          <w:sz w:val="32"/>
          <w:szCs w:val="32"/>
          <w:lang w:val="en-US" w:eastAsia="zh-CN"/>
        </w:rPr>
      </w:pPr>
      <w:r>
        <w:rPr>
          <w:rFonts w:hint="eastAsia" w:hAnsi="宋体" w:cs="宋体"/>
          <w:color w:val="000000"/>
          <w:kern w:val="0"/>
          <w:sz w:val="32"/>
          <w:szCs w:val="32"/>
          <w:lang w:val="en-US" w:eastAsia="zh-CN"/>
        </w:rPr>
        <w:t>本部门</w:t>
      </w:r>
      <w:r>
        <w:rPr>
          <w:rFonts w:hint="eastAsia" w:hAnsi="宋体" w:cs="宋体"/>
          <w:color w:val="000000"/>
          <w:kern w:val="0"/>
          <w:sz w:val="32"/>
          <w:szCs w:val="32"/>
        </w:rPr>
        <w:t>内设机构包括：（1）党政综合办（2）农村公路管理科（3）运输综合科（4）安全监督科</w:t>
      </w:r>
      <w:r>
        <w:rPr>
          <w:rFonts w:hint="eastAsia" w:hAnsi="宋体" w:cs="宋体"/>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hAnsi="宋体" w:eastAsia="仿宋_GB2312" w:cs="宋体"/>
          <w:color w:val="000000"/>
          <w:kern w:val="0"/>
          <w:sz w:val="32"/>
          <w:szCs w:val="32"/>
          <w:lang w:val="en-US" w:eastAsia="zh-CN"/>
        </w:rPr>
      </w:pPr>
      <w:r>
        <w:rPr>
          <w:rFonts w:hint="eastAsia" w:hAnsi="宋体" w:cs="宋体"/>
          <w:color w:val="000000"/>
          <w:kern w:val="0"/>
          <w:sz w:val="32"/>
          <w:szCs w:val="32"/>
          <w:lang w:val="en-US" w:eastAsia="zh-CN"/>
        </w:rPr>
        <w:t>3、主要职能及重点工作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（1）宣传贯彻国家和省市交通主管部门有关道路运输的方针政策和法律法规，维护全区道路运输市场秩序，保护合法经营，依法查处交通运输违法行为。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（2）负责对辖区内道路客、货运输经营的行政许可和监督管理工作，对道路运输代理、货运配載信息服务、仓储理货、装卸搬运等行业实行备和监督管理。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（3）按有关规定对辖区内道路运输经营者的经营资质进行考核和营运车辆的年度审验。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（4）负责辖区内机动车维修经营、客货运输站场经营、机动车管理培训经营的行政许可和监督管理工作。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（5）负责辖区内县乡公路路政管理工作，负责辖区内县乡公路规划、建设、养护工作。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（6）负责全区交通运输安全的宣传和管理工作，对辖区内的公路、水路运输安全实施监督管理。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（7）负责全区公路、水上“三乱”治理工作。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（8）协助辖区内城市公共客运监督管理工作。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（9）负责辖区内道路交通运输行业管理和运输组织，做好防汛、救灾、抢险等物资的运输组织协调工作，协助做好全区国防动员交通运输战备工作。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（10）负责全区道路运输市场调查研究工作，做好交通运输统计和有关数据的收集、整理和上报工作，为上级制定交通运输发展规划提供依据。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p>
    <w:p>
      <w:pPr>
        <w:pStyle w:val="10"/>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10"/>
        <w:widowControl/>
        <w:numPr>
          <w:ilvl w:val="0"/>
          <w:numId w:val="3"/>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spacing w:line="520" w:lineRule="exact"/>
        <w:ind w:firstLine="640" w:firstLineChars="200"/>
        <w:rPr>
          <w:rFonts w:ascii="Times New Roman" w:hAnsi="Times New Roman" w:eastAsia="黑体" w:cs="Times New Roman"/>
          <w:sz w:val="32"/>
          <w:szCs w:val="32"/>
        </w:rPr>
      </w:pPr>
      <w:r>
        <w:rPr>
          <w:rFonts w:hint="eastAsia" w:ascii="仿宋_GB2312" w:hAnsi="Times New Roman" w:cs="Times New Roman"/>
          <w:kern w:val="0"/>
          <w:sz w:val="32"/>
          <w:szCs w:val="32"/>
          <w:vertAlign w:val="baseline"/>
          <w:lang w:val="en-US" w:eastAsia="zh-CN"/>
        </w:rPr>
        <w:t>2021年基本支出决算数为1,082.87万元，</w:t>
      </w:r>
      <w:r>
        <w:rPr>
          <w:rFonts w:hint="eastAsia" w:ascii="仿宋" w:hAnsi="仿宋" w:eastAsia="仿宋" w:cs="宋体"/>
          <w:color w:val="000000"/>
          <w:kern w:val="0"/>
          <w:sz w:val="32"/>
          <w:szCs w:val="32"/>
        </w:rPr>
        <w:t>占本年总支出的</w:t>
      </w:r>
      <w:r>
        <w:rPr>
          <w:rFonts w:hint="eastAsia" w:ascii="仿宋" w:hAnsi="仿宋" w:eastAsia="仿宋" w:cs="宋体"/>
          <w:color w:val="000000"/>
          <w:kern w:val="0"/>
          <w:sz w:val="32"/>
          <w:szCs w:val="32"/>
          <w:lang w:val="en-US" w:eastAsia="zh-CN"/>
        </w:rPr>
        <w:t>25.78</w:t>
      </w:r>
      <w:r>
        <w:rPr>
          <w:rFonts w:hint="eastAsia" w:ascii="仿宋" w:hAnsi="仿宋" w:eastAsia="仿宋" w:cs="宋体"/>
          <w:color w:val="000000"/>
          <w:kern w:val="0"/>
          <w:sz w:val="32"/>
          <w:szCs w:val="32"/>
        </w:rPr>
        <w:t>%，</w:t>
      </w:r>
      <w:r>
        <w:rPr>
          <w:rFonts w:hint="eastAsia" w:ascii="Times New Roman" w:hAnsi="Times New Roman" w:cs="Times New Roman"/>
          <w:kern w:val="2"/>
          <w:sz w:val="32"/>
          <w:szCs w:val="32"/>
          <w:lang w:val="en-US" w:eastAsia="zh-CN" w:bidi="ar-SA"/>
        </w:rPr>
        <w:t>其中人员经费</w:t>
      </w:r>
      <w:r>
        <w:rPr>
          <w:rFonts w:hint="eastAsia" w:ascii="Times New Roman" w:hAnsi="Times New Roman" w:eastAsia="仿宋_GB2312" w:cs="Times New Roman"/>
          <w:kern w:val="2"/>
          <w:sz w:val="32"/>
          <w:szCs w:val="32"/>
          <w:lang w:val="en-US" w:eastAsia="zh-CN" w:bidi="ar-SA"/>
        </w:rPr>
        <w:t>支出</w:t>
      </w:r>
      <w:r>
        <w:rPr>
          <w:rFonts w:hint="eastAsia" w:ascii="仿宋_GB2312"/>
          <w:kern w:val="0"/>
          <w:sz w:val="32"/>
          <w:szCs w:val="32"/>
          <w:vertAlign w:val="baseline"/>
          <w:lang w:val="en-US" w:eastAsia="zh-CN"/>
        </w:rPr>
        <w:t>1,003.44万元，</w:t>
      </w:r>
      <w:r>
        <w:rPr>
          <w:rFonts w:hint="eastAsia" w:ascii="仿宋" w:hAnsi="仿宋" w:eastAsia="仿宋" w:cs="宋体"/>
          <w:color w:val="000000"/>
          <w:kern w:val="0"/>
          <w:sz w:val="32"/>
          <w:szCs w:val="32"/>
        </w:rPr>
        <w:t>机关运行经费</w:t>
      </w:r>
      <w:r>
        <w:rPr>
          <w:rFonts w:hint="eastAsia" w:ascii="仿宋" w:hAnsi="仿宋" w:eastAsia="仿宋" w:cs="宋体"/>
          <w:color w:val="000000"/>
          <w:kern w:val="0"/>
          <w:sz w:val="32"/>
          <w:szCs w:val="32"/>
          <w:lang w:val="en-US" w:eastAsia="zh-CN"/>
        </w:rPr>
        <w:t>支出</w:t>
      </w:r>
      <w:r>
        <w:rPr>
          <w:rFonts w:hint="eastAsia" w:ascii="仿宋_GB2312"/>
          <w:kern w:val="0"/>
          <w:sz w:val="32"/>
          <w:szCs w:val="32"/>
          <w:vertAlign w:val="baseline"/>
          <w:lang w:val="en-US" w:eastAsia="zh-CN"/>
        </w:rPr>
        <w:t>79.43万元。</w:t>
      </w:r>
    </w:p>
    <w:p>
      <w:pPr>
        <w:pStyle w:val="10"/>
        <w:widowControl/>
        <w:numPr>
          <w:ilvl w:val="0"/>
          <w:numId w:val="3"/>
        </w:numPr>
        <w:spacing w:line="600" w:lineRule="exact"/>
        <w:ind w:firstLineChars="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项目支出情况</w:t>
      </w:r>
    </w:p>
    <w:p>
      <w:pPr>
        <w:ind w:firstLine="640" w:firstLineChars="200"/>
        <w:rPr>
          <w:rFonts w:hint="eastAsia" w:ascii="Times New Roman" w:hAnsi="Times New Roman" w:eastAsia="黑体" w:cs="Times New Roman"/>
          <w:sz w:val="32"/>
          <w:szCs w:val="32"/>
          <w:lang w:eastAsia="zh-CN"/>
        </w:rPr>
      </w:pPr>
      <w:r>
        <w:rPr>
          <w:rFonts w:hint="eastAsia" w:ascii="仿宋" w:hAnsi="仿宋" w:eastAsia="仿宋" w:cs="宋体"/>
          <w:color w:val="auto"/>
          <w:kern w:val="0"/>
          <w:sz w:val="32"/>
          <w:szCs w:val="32"/>
        </w:rPr>
        <w:t>2021年项目支出为</w:t>
      </w:r>
      <w:r>
        <w:rPr>
          <w:rFonts w:hint="eastAsia" w:ascii="仿宋" w:hAnsi="仿宋" w:eastAsia="仿宋" w:cs="宋体"/>
          <w:color w:val="auto"/>
          <w:kern w:val="0"/>
          <w:sz w:val="32"/>
          <w:szCs w:val="32"/>
          <w:lang w:val="en-US" w:eastAsia="zh-CN"/>
        </w:rPr>
        <w:t>3,118.22</w:t>
      </w:r>
      <w:r>
        <w:rPr>
          <w:rFonts w:hint="eastAsia" w:ascii="仿宋" w:hAnsi="仿宋" w:eastAsia="仿宋" w:cs="宋体"/>
          <w:color w:val="auto"/>
          <w:kern w:val="0"/>
          <w:sz w:val="32"/>
          <w:szCs w:val="32"/>
        </w:rPr>
        <w:t>万元，占本年总支出的</w:t>
      </w:r>
      <w:r>
        <w:rPr>
          <w:rFonts w:hint="eastAsia" w:ascii="仿宋" w:hAnsi="仿宋" w:eastAsia="仿宋" w:cs="宋体"/>
          <w:color w:val="auto"/>
          <w:kern w:val="0"/>
          <w:sz w:val="32"/>
          <w:szCs w:val="32"/>
          <w:lang w:val="en-US" w:eastAsia="zh-CN"/>
        </w:rPr>
        <w:t>74.22</w:t>
      </w:r>
      <w:r>
        <w:rPr>
          <w:rFonts w:hint="eastAsia" w:ascii="仿宋" w:hAnsi="仿宋" w:eastAsia="仿宋" w:cs="宋体"/>
          <w:color w:val="auto"/>
          <w:kern w:val="0"/>
          <w:sz w:val="32"/>
          <w:szCs w:val="32"/>
        </w:rPr>
        <w:t>%，其中：业务工作经费</w:t>
      </w:r>
      <w:r>
        <w:rPr>
          <w:rFonts w:hint="eastAsia" w:ascii="仿宋" w:hAnsi="仿宋" w:eastAsia="仿宋" w:cs="宋体"/>
          <w:color w:val="auto"/>
          <w:kern w:val="0"/>
          <w:sz w:val="32"/>
          <w:szCs w:val="32"/>
          <w:lang w:val="en-US" w:eastAsia="zh-CN"/>
        </w:rPr>
        <w:t>3,118.22</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主要是安全整治专项经费22.65万元、市驻区交通执法大队专项经费242.30万元、农村公路养护经费161.92万元、春节、端午节节气资金1,545.76万元、省、市级专项补助经费1,002.10万元等。无专项经费支出</w:t>
      </w:r>
      <w:r>
        <w:rPr>
          <w:rFonts w:hint="eastAsia" w:ascii="仿宋" w:hAnsi="仿宋" w:eastAsia="仿宋" w:cs="宋体"/>
          <w:color w:val="auto"/>
          <w:kern w:val="0"/>
          <w:sz w:val="32"/>
          <w:szCs w:val="32"/>
        </w:rPr>
        <w:t>。</w:t>
      </w:r>
    </w:p>
    <w:p>
      <w:pPr>
        <w:widowControl/>
        <w:spacing w:line="600" w:lineRule="exact"/>
        <w:ind w:firstLine="645"/>
        <w:jc w:val="left"/>
        <w:rPr>
          <w:rFonts w:hint="eastAsia" w:ascii="Times New Roman" w:hAnsi="Times New Roman" w:eastAsia="黑体" w:cs="Times New Roman"/>
          <w:sz w:val="32"/>
          <w:szCs w:val="32"/>
          <w:lang w:eastAsia="zh-CN"/>
        </w:rPr>
      </w:pPr>
    </w:p>
    <w:p>
      <w:pPr>
        <w:widowControl/>
        <w:spacing w:line="600" w:lineRule="exact"/>
        <w:jc w:val="left"/>
        <w:rPr>
          <w:rFonts w:hint="eastAsia" w:ascii="Times New Roman" w:hAnsi="Times New Roman" w:eastAsia="黑体" w:cs="Times New Roman"/>
          <w:sz w:val="32"/>
          <w:szCs w:val="32"/>
          <w:lang w:eastAsia="zh-CN"/>
        </w:rPr>
      </w:pPr>
    </w:p>
    <w:p>
      <w:pPr>
        <w:widowControl/>
        <w:spacing w:line="600" w:lineRule="exact"/>
        <w:jc w:val="left"/>
        <w:rPr>
          <w:rFonts w:hint="eastAsia" w:ascii="Times New Roman" w:hAnsi="Times New Roman" w:eastAsia="黑体" w:cs="Times New Roman"/>
          <w:sz w:val="32"/>
          <w:szCs w:val="32"/>
          <w:lang w:eastAsia="zh-CN"/>
        </w:rPr>
      </w:pP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cs="仿宋"/>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p>
      <w:pPr>
        <w:widowControl/>
        <w:snapToGrid w:val="0"/>
        <w:spacing w:line="560" w:lineRule="exact"/>
        <w:ind w:firstLine="640" w:firstLineChars="200"/>
        <w:jc w:val="left"/>
        <w:rPr>
          <w:rFonts w:hint="default" w:ascii="仿宋_GB2312" w:hAnsi="仿宋" w:cs="Times New Roman"/>
          <w:color w:val="auto"/>
          <w:kern w:val="0"/>
          <w:sz w:val="32"/>
          <w:szCs w:val="32"/>
          <w:lang w:val="en-US" w:eastAsia="zh-CN"/>
        </w:rPr>
      </w:pPr>
      <w:r>
        <w:rPr>
          <w:rFonts w:hint="eastAsia" w:ascii="仿宋_GB2312" w:hAnsi="仿宋" w:cs="仿宋"/>
          <w:sz w:val="32"/>
          <w:szCs w:val="32"/>
          <w:lang w:val="en-US" w:eastAsia="zh-CN"/>
        </w:rPr>
        <w:t>2021年，本部门根据相关资金立项审批文件，结合工作实际，</w:t>
      </w:r>
      <w:r>
        <w:rPr>
          <w:rFonts w:hint="eastAsia" w:ascii="仿宋_GB2312" w:hAnsi="仿宋" w:eastAsia="仿宋_GB2312" w:cs="Times New Roman"/>
          <w:color w:val="auto"/>
          <w:kern w:val="0"/>
          <w:sz w:val="32"/>
          <w:szCs w:val="32"/>
          <w:lang w:val="en-US" w:eastAsia="zh-CN"/>
        </w:rPr>
        <w:t>对所有财政拨款资金</w:t>
      </w:r>
      <w:r>
        <w:rPr>
          <w:rFonts w:hint="eastAsia" w:ascii="仿宋_GB2312" w:hAnsi="仿宋" w:cs="Times New Roman"/>
          <w:color w:val="auto"/>
          <w:kern w:val="0"/>
          <w:sz w:val="32"/>
          <w:szCs w:val="32"/>
          <w:lang w:val="en-US" w:eastAsia="zh-CN"/>
        </w:rPr>
        <w:t>全部实行整体支出</w:t>
      </w:r>
      <w:r>
        <w:rPr>
          <w:rFonts w:hint="eastAsia" w:ascii="仿宋_GB2312" w:hAnsi="仿宋" w:eastAsia="仿宋_GB2312" w:cs="Times New Roman"/>
          <w:color w:val="auto"/>
          <w:kern w:val="0"/>
          <w:sz w:val="32"/>
          <w:szCs w:val="32"/>
          <w:lang w:val="en-US" w:eastAsia="zh-CN"/>
        </w:rPr>
        <w:t>绩效目标管理。</w:t>
      </w:r>
      <w:r>
        <w:rPr>
          <w:rFonts w:hint="eastAsia" w:ascii="仿宋_GB2312" w:hAnsi="仿宋" w:cs="Times New Roman"/>
          <w:color w:val="auto"/>
          <w:kern w:val="0"/>
          <w:sz w:val="32"/>
          <w:szCs w:val="32"/>
          <w:lang w:val="en-US" w:eastAsia="zh-CN"/>
        </w:rPr>
        <w:t>整体</w:t>
      </w:r>
      <w:r>
        <w:rPr>
          <w:rFonts w:hint="eastAsia" w:ascii="仿宋_GB2312" w:hAnsi="仿宋" w:eastAsia="仿宋_GB2312" w:cs="Times New Roman"/>
          <w:color w:val="auto"/>
          <w:kern w:val="0"/>
          <w:sz w:val="32"/>
          <w:szCs w:val="32"/>
          <w:lang w:val="en-US" w:eastAsia="zh-CN"/>
        </w:rPr>
        <w:t>绩效目标设置情况</w:t>
      </w:r>
      <w:r>
        <w:rPr>
          <w:rFonts w:hint="eastAsia" w:ascii="仿宋_GB2312" w:hAnsi="仿宋" w:cs="Times New Roman"/>
          <w:color w:val="auto"/>
          <w:kern w:val="0"/>
          <w:sz w:val="32"/>
          <w:szCs w:val="32"/>
          <w:lang w:val="en-US" w:eastAsia="zh-CN"/>
        </w:rPr>
        <w:t>如下：</w:t>
      </w:r>
    </w:p>
    <w:p>
      <w:pPr>
        <w:widowControl/>
        <w:numPr>
          <w:ilvl w:val="0"/>
          <w:numId w:val="0"/>
        </w:numPr>
        <w:snapToGrid w:val="0"/>
        <w:spacing w:line="560" w:lineRule="exact"/>
        <w:ind w:firstLine="640" w:firstLineChars="200"/>
        <w:jc w:val="left"/>
        <w:rPr>
          <w:rFonts w:hint="eastAsia" w:ascii="仿宋_GB2312" w:hAnsi="仿宋" w:cs="Times New Roman"/>
          <w:color w:val="auto"/>
          <w:kern w:val="0"/>
          <w:sz w:val="32"/>
          <w:szCs w:val="32"/>
          <w:lang w:val="en-US" w:eastAsia="zh-CN"/>
        </w:rPr>
      </w:pPr>
      <w:r>
        <w:rPr>
          <w:rFonts w:hint="eastAsia" w:ascii="仿宋_GB2312" w:hAnsi="仿宋" w:cs="Times New Roman"/>
          <w:color w:val="auto"/>
          <w:kern w:val="0"/>
          <w:sz w:val="32"/>
          <w:szCs w:val="32"/>
          <w:lang w:val="en-US" w:eastAsia="zh-CN"/>
        </w:rPr>
        <w:t>1.大力推进道路运输安全提升，深入推进打非治超，严守道路运输法律法规底线，加强打击力度，提高管理执法水平。</w:t>
      </w:r>
      <w:r>
        <w:rPr>
          <w:rFonts w:hint="eastAsia" w:ascii="仿宋" w:hAnsi="仿宋" w:eastAsia="仿宋" w:cs="宋体"/>
          <w:color w:val="000000"/>
          <w:kern w:val="0"/>
          <w:sz w:val="32"/>
          <w:szCs w:val="32"/>
          <w:lang w:val="en-US" w:eastAsia="zh-CN" w:bidi="ar-SA"/>
        </w:rPr>
        <w:t>充分发挥统筹规划、协同推进的制度优势。创新工作方式，深度融合“互联网+交通”，推动政企、行业、部门间协同发力。预计</w:t>
      </w:r>
      <w:r>
        <w:rPr>
          <w:rFonts w:hint="eastAsia" w:ascii="仿宋_GB2312" w:hAnsi="仿宋_GB2312" w:eastAsia="仿宋_GB2312" w:cs="仿宋_GB2312"/>
          <w:color w:val="auto"/>
          <w:sz w:val="32"/>
          <w:szCs w:val="32"/>
        </w:rPr>
        <w:t>审批道路运输企业6</w:t>
      </w:r>
      <w:r>
        <w:rPr>
          <w:rFonts w:hint="eastAsia" w:ascii="仿宋_GB2312" w:hAnsi="仿宋_GB2312" w:cs="仿宋_GB2312"/>
          <w:color w:val="auto"/>
          <w:sz w:val="32"/>
          <w:szCs w:val="32"/>
          <w:lang w:val="en-US" w:eastAsia="zh-CN"/>
        </w:rPr>
        <w:t>0</w:t>
      </w:r>
      <w:r>
        <w:rPr>
          <w:rFonts w:hint="eastAsia" w:ascii="仿宋_GB2312" w:hAnsi="仿宋_GB2312" w:eastAsia="仿宋_GB2312" w:cs="仿宋_GB2312"/>
          <w:color w:val="auto"/>
          <w:sz w:val="32"/>
          <w:szCs w:val="32"/>
        </w:rPr>
        <w:t>家，新增道路运输经营业户16</w:t>
      </w:r>
      <w:r>
        <w:rPr>
          <w:rFonts w:hint="eastAsia" w:ascii="仿宋_GB2312" w:hAnsi="仿宋_GB2312" w:cs="仿宋_GB2312"/>
          <w:color w:val="auto"/>
          <w:sz w:val="32"/>
          <w:szCs w:val="32"/>
          <w:lang w:val="en-US" w:eastAsia="zh-CN"/>
        </w:rPr>
        <w:t>0</w:t>
      </w:r>
      <w:r>
        <w:rPr>
          <w:rFonts w:hint="eastAsia" w:ascii="仿宋_GB2312" w:hAnsi="仿宋_GB2312" w:eastAsia="仿宋_GB2312" w:cs="仿宋_GB2312"/>
          <w:color w:val="auto"/>
          <w:sz w:val="32"/>
          <w:szCs w:val="32"/>
        </w:rPr>
        <w:t>家、道路运输车辆9</w:t>
      </w:r>
      <w:r>
        <w:rPr>
          <w:rFonts w:hint="eastAsia" w:ascii="仿宋_GB2312" w:hAnsi="仿宋_GB2312" w:cs="仿宋_GB2312"/>
          <w:color w:val="auto"/>
          <w:sz w:val="32"/>
          <w:szCs w:val="32"/>
          <w:lang w:val="en-US" w:eastAsia="zh-CN"/>
        </w:rPr>
        <w:t>00</w:t>
      </w:r>
      <w:r>
        <w:rPr>
          <w:rFonts w:hint="eastAsia" w:ascii="仿宋_GB2312" w:hAnsi="仿宋_GB2312" w:eastAsia="仿宋_GB2312" w:cs="仿宋_GB2312"/>
          <w:color w:val="auto"/>
          <w:sz w:val="32"/>
          <w:szCs w:val="32"/>
        </w:rPr>
        <w:t>台；完成</w:t>
      </w:r>
      <w:r>
        <w:rPr>
          <w:rFonts w:hint="eastAsia" w:ascii="仿宋_GB2312" w:hAnsi="仿宋_GB2312" w:cs="仿宋_GB2312"/>
          <w:color w:val="auto"/>
          <w:sz w:val="32"/>
          <w:szCs w:val="32"/>
          <w:lang w:val="en-US" w:eastAsia="zh-CN"/>
        </w:rPr>
        <w:t>2000</w:t>
      </w:r>
      <w:r>
        <w:rPr>
          <w:rFonts w:hint="eastAsia" w:ascii="仿宋_GB2312" w:hAnsi="仿宋_GB2312" w:eastAsia="仿宋_GB2312" w:cs="仿宋_GB2312"/>
          <w:color w:val="auto"/>
          <w:sz w:val="32"/>
          <w:szCs w:val="32"/>
        </w:rPr>
        <w:t>台车辆的道路运输证年审、</w:t>
      </w:r>
      <w:r>
        <w:rPr>
          <w:rFonts w:hint="eastAsia" w:ascii="仿宋_GB2312" w:hAnsi="仿宋_GB2312" w:cs="仿宋_GB2312"/>
          <w:color w:val="auto"/>
          <w:sz w:val="32"/>
          <w:szCs w:val="32"/>
          <w:lang w:val="en-US" w:eastAsia="zh-CN"/>
        </w:rPr>
        <w:t>30</w:t>
      </w:r>
      <w:r>
        <w:rPr>
          <w:rFonts w:hint="eastAsia" w:ascii="仿宋_GB2312" w:hAnsi="仿宋_GB2312" w:eastAsia="仿宋_GB2312" w:cs="仿宋_GB2312"/>
          <w:color w:val="auto"/>
          <w:sz w:val="32"/>
          <w:szCs w:val="32"/>
        </w:rPr>
        <w:t>家维修企业维修备案工作；依法注销不合规企业、个体业户</w:t>
      </w:r>
      <w:r>
        <w:rPr>
          <w:rFonts w:hint="eastAsia" w:ascii="仿宋" w:hAnsi="仿宋" w:eastAsia="仿宋" w:cs="宋体"/>
          <w:color w:val="000000"/>
          <w:kern w:val="0"/>
          <w:sz w:val="32"/>
          <w:szCs w:val="32"/>
          <w:lang w:val="en-US" w:eastAsia="zh-CN" w:bidi="ar-SA"/>
        </w:rPr>
        <w:t>；</w:t>
      </w:r>
      <w:r>
        <w:rPr>
          <w:rFonts w:hint="eastAsia" w:ascii="仿宋_GB2312" w:hAnsi="仿宋_GB2312" w:eastAsia="仿宋_GB2312" w:cs="仿宋_GB2312"/>
          <w:color w:val="auto"/>
          <w:sz w:val="32"/>
          <w:szCs w:val="32"/>
        </w:rPr>
        <w:t>对拥有5台重型车以上企业进行质量信誉考核和安全生产检查，督促各企业加强安全生产管理，完善安全生产制度，落实“一会三卡”等安全生产企业主体责任</w:t>
      </w:r>
      <w:r>
        <w:rPr>
          <w:rFonts w:hint="eastAsia" w:ascii="仿宋_GB2312" w:hAnsi="仿宋_GB2312" w:cs="仿宋_GB2312"/>
          <w:color w:val="auto"/>
          <w:sz w:val="32"/>
          <w:szCs w:val="32"/>
          <w:lang w:eastAsia="zh-CN"/>
        </w:rPr>
        <w:t>。</w:t>
      </w:r>
    </w:p>
    <w:p>
      <w:pPr>
        <w:widowControl/>
        <w:numPr>
          <w:ilvl w:val="0"/>
          <w:numId w:val="0"/>
        </w:numPr>
        <w:snapToGrid w:val="0"/>
        <w:spacing w:line="560" w:lineRule="exact"/>
        <w:ind w:firstLine="640" w:firstLineChars="200"/>
        <w:jc w:val="left"/>
        <w:rPr>
          <w:rFonts w:hint="eastAsia" w:ascii="仿宋_GB2312" w:hAnsi="仿宋" w:cs="Times New Roman"/>
          <w:color w:val="auto"/>
          <w:kern w:val="0"/>
          <w:sz w:val="32"/>
          <w:szCs w:val="32"/>
          <w:lang w:val="en-US" w:eastAsia="zh-CN"/>
        </w:rPr>
      </w:pPr>
      <w:r>
        <w:rPr>
          <w:rFonts w:hint="eastAsia" w:ascii="仿宋_GB2312" w:hAnsi="仿宋" w:cs="Times New Roman"/>
          <w:color w:val="auto"/>
          <w:kern w:val="0"/>
          <w:sz w:val="32"/>
          <w:szCs w:val="32"/>
          <w:lang w:val="en-US" w:eastAsia="zh-CN"/>
        </w:rPr>
        <w:t>2.努力维护道路运输市场秩序、创新开福区农村公路管理和养护机制，高质量抓好农村道路的基础设施、安防设施建设为建设富饶美丽幸福新开福作出新的贡献。计划对</w:t>
      </w:r>
      <w:r>
        <w:rPr>
          <w:rFonts w:hint="eastAsia" w:ascii="仿宋" w:hAnsi="仿宋" w:eastAsia="仿宋" w:cs="宋体"/>
          <w:color w:val="000000"/>
          <w:kern w:val="0"/>
          <w:sz w:val="32"/>
          <w:szCs w:val="32"/>
          <w:lang w:val="en-US" w:eastAsia="zh-CN" w:bidi="ar-SA"/>
        </w:rPr>
        <w:t>长沙园林生态园景区进出道路全线3.5km和大明大道全线1.5km等2条联络道进行路网有效衔接改造；对汉沙公路南延线全线5.1km和汉回村文化旅游换线（彭公屋组级路）全线5.6km等2条旅游通景路进行路面提质改造；进行农村公路路面连通和中修工程，对开福区农村公路6.78km砂石土路进行路面硬化、13.5km破损路段进行中修，并完善沿线安保和排水设施。</w:t>
      </w:r>
    </w:p>
    <w:p>
      <w:pPr>
        <w:widowControl/>
        <w:snapToGrid w:val="0"/>
        <w:spacing w:line="560" w:lineRule="exact"/>
        <w:ind w:firstLine="640" w:firstLineChars="200"/>
        <w:jc w:val="left"/>
        <w:rPr>
          <w:rFonts w:hint="eastAsia" w:ascii="仿宋_GB2312" w:hAnsi="仿宋" w:cs="仿宋"/>
          <w:sz w:val="32"/>
          <w:szCs w:val="32"/>
          <w:lang w:eastAsia="zh-CN"/>
        </w:rPr>
      </w:pPr>
      <w:r>
        <w:rPr>
          <w:rFonts w:hint="eastAsia" w:ascii="仿宋_GB2312" w:hAnsi="仿宋" w:cs="仿宋"/>
          <w:sz w:val="32"/>
          <w:szCs w:val="32"/>
          <w:lang w:eastAsia="zh-CN"/>
        </w:rPr>
        <w:t>（二）绩效目标完成情况</w:t>
      </w:r>
    </w:p>
    <w:p>
      <w:pPr>
        <w:pStyle w:val="4"/>
        <w:spacing w:after="0" w:line="580" w:lineRule="atLeast"/>
        <w:ind w:firstLine="640" w:firstLineChars="2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2021年本部门的绩效目标完成情况如下：</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1.提升交通行业综合管理水平，精准发力。深化融合智慧交通建设与行业管理，不断创新摸索监管联动方式方法。充分发挥统筹规划、协同推进的制度优势。创新工作方式，深度融合“互联网+交通”，推动政企、行业、部门间协同发力。2021</w:t>
      </w:r>
      <w:r>
        <w:rPr>
          <w:rFonts w:hint="eastAsia" w:ascii="仿宋_GB2312" w:hAnsi="仿宋_GB2312" w:eastAsia="仿宋_GB2312" w:cs="仿宋_GB2312"/>
          <w:color w:val="auto"/>
          <w:sz w:val="32"/>
          <w:szCs w:val="32"/>
        </w:rPr>
        <w:t>年以来，共审批道路运输企业63家，新增道路运输经营业户163家、道路运输车辆977台；完成2875台车辆的道路运输证年审、44家维修企业维修备案工作；依法注销59家不合规企业、50家个体业户</w:t>
      </w:r>
      <w:r>
        <w:rPr>
          <w:rFonts w:hint="eastAsia" w:ascii="仿宋" w:hAnsi="仿宋" w:eastAsia="仿宋" w:cs="宋体"/>
          <w:color w:val="000000"/>
          <w:kern w:val="0"/>
          <w:sz w:val="32"/>
          <w:szCs w:val="32"/>
          <w:lang w:val="en-US" w:eastAsia="zh-CN" w:bidi="ar-SA"/>
        </w:rPr>
        <w:t>；</w:t>
      </w:r>
      <w:r>
        <w:rPr>
          <w:rFonts w:hint="eastAsia" w:ascii="仿宋_GB2312" w:hAnsi="仿宋_GB2312" w:eastAsia="仿宋_GB2312" w:cs="仿宋_GB2312"/>
          <w:color w:val="auto"/>
          <w:sz w:val="32"/>
          <w:szCs w:val="32"/>
        </w:rPr>
        <w:t>对拥有5台重型车以上企业进行了质量信誉考核和安全生产检查，督促各企业加强安全生产管理，完善安全生产制度，落实“一会三卡”等安全生产企业主体责任</w:t>
      </w:r>
      <w:r>
        <w:rPr>
          <w:rFonts w:hint="eastAsia" w:ascii="仿宋_GB2312" w:hAnsi="仿宋_GB2312" w:cs="仿宋_GB2312"/>
          <w:color w:val="auto"/>
          <w:sz w:val="32"/>
          <w:szCs w:val="32"/>
          <w:lang w:eastAsia="zh-CN"/>
        </w:rPr>
        <w:t>。</w:t>
      </w:r>
      <w:r>
        <w:rPr>
          <w:rFonts w:hint="eastAsia" w:ascii="仿宋" w:hAnsi="仿宋" w:eastAsia="仿宋" w:cs="宋体"/>
          <w:color w:val="000000"/>
          <w:kern w:val="0"/>
          <w:sz w:val="32"/>
          <w:szCs w:val="32"/>
          <w:lang w:val="en-US" w:eastAsia="zh-CN" w:bidi="ar-SA"/>
        </w:rPr>
        <w:t>科学配置各类资源要素，在行政检查、源头监管中形成合力，建立多部门协作的联动机制，实现了共建共治、上下联通、联勤联动、融合发展。</w:t>
      </w:r>
    </w:p>
    <w:p>
      <w:pPr>
        <w:pStyle w:val="2"/>
        <w:ind w:firstLine="602"/>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2.统筹兼顾形成行业治理体系，联动助力。对4个严控区街道已经劝退关停的烤漆房，加强日常巡查管控，防止因疏于管理而导致死灰复燃。同时，联合交通执法大队加强汽修企业备案宣传，积极推动整改。联合环保部门，对全区85家汽修企业烤漆房（含劝退关停16家），逐一上门检查，交办存在问题，做到检查整改全覆盖。始终盯紧国控点周边汽修企业，加强常态管控，引导企业错峰生产，巩固蓝天保卫战胜利成果。建立了普货企业工作群，方便消息上传下达。加强对普货企业的上门检查频率，落实企业安全生产主体责任。按照“三定方案”切实履行行业管理相关职责，对现有的审批事项进行持续清理，在严格执行行政审批的相关法律法规前提下，缩行政审批办结时间，提高办事效率，加强宣传学习，明确自身职责，提高服务意识，寓行业管理于服务之中。联合区治超办，建立集监测、通报、调度、讲评、整改于一体的治超监管机制，压实治超工作职责，将源头企业视频监控及称重数据接入市区治超平台，坚决从源头遏止超限超载行为，实现科技治超工作稳固运行。</w:t>
      </w:r>
    </w:p>
    <w:p>
      <w:pPr>
        <w:pStyle w:val="2"/>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 xml:space="preserve">有效接驳地铁3、5号线开通，协调推进港湾式公交站点建设，计划于年底前完成开元路口站、万家丽洪山路口、德雅路双拥路口3对港湾式公交站点建设。并积极落实群众要求，完成公交线路优化。    </w:t>
      </w:r>
    </w:p>
    <w:p>
      <w:pPr>
        <w:pStyle w:val="2"/>
        <w:ind w:firstLine="602"/>
        <w:rPr>
          <w:rFonts w:hint="default"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3.科学铺排农村公路建设管理养护工作，持续用力。推进农村公路项目建设方面：一是对长沙园林生态园景区进出道路全线3.5km和大明大道全线1.5km等2条联络道进行路网有效衔接改造；二是对汉沙公路南延线全线5.1km和汉回村文化旅游换线（彭公屋组级路）全线5.6km等2条旅游通景路进行路面提质改造；三是进行农村公路路面连通和中修工程，对开福区农村公路6.78km砂石土路进行路面硬化、13.5km破损路段进行中修，并完善沿线安保和排水设施。推进农村公路管理养护方面：一是全面压实路长制，建立“点、线、面”综合监督管理责任制，原则上按“县道县管、乡道乡管、村道村管”分级落实责任。二是按照《农村公路市场化养护工作方案》，完善农村公路的管理体制与机制，将县乡道和主要村道实行“分级管理”和服务外包,全面提升农村公路品质和通行能力。</w:t>
      </w:r>
    </w:p>
    <w:p>
      <w:pPr>
        <w:widowControl/>
        <w:spacing w:line="600" w:lineRule="exact"/>
        <w:ind w:firstLine="645"/>
        <w:jc w:val="left"/>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4.建立齐抓共管机制深化行业安全管理，凝心聚力。强化道路交通安全隐患排查与治理，把安全作为交通运输发展的底线。认真汲取省内外重大安全生产事故的深刻教训，严格落实安全生产责任，</w:t>
      </w:r>
      <w:r>
        <w:rPr>
          <w:rFonts w:hint="eastAsia" w:ascii="仿宋_GB2312" w:hAnsi="仿宋_GB2312" w:eastAsia="仿宋_GB2312" w:cs="仿宋_GB2312"/>
          <w:color w:val="auto"/>
          <w:sz w:val="32"/>
          <w:szCs w:val="32"/>
        </w:rPr>
        <w:t>统筹制定交通问题顽瘴痼疾整治方案，持续深入推进隐患排查整治。共对126余家运输企业开展警示约谈，50余家货运经营者进行电话约谈，联合市交通开福执法大队、区交警大队对辖区“两客一危”企业开展联合检查24次，对68处突出安全隐患进行了闭环整改，通过检查督促，提升企业安全生产工作水平。</w:t>
      </w:r>
    </w:p>
    <w:p>
      <w:pPr>
        <w:widowControl/>
        <w:spacing w:line="600" w:lineRule="exact"/>
        <w:ind w:firstLine="645"/>
        <w:jc w:val="left"/>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5.党建引领，加强班子和干部队伍建设。健全完善党风廉政建设工作责任机制，加强干部的监督管理，做好风险防控，强化警示教育，营造风清气正良好氛围。严格落实党风廉政建设“两个责任”，制定差异化责任清单，逐级层层签订责任书、承诺书。今年以来，共召开全体干部作风建设讲评会3次，党风廉政建设专题例会3次，进一步加强了干部职工队伍思想政治工作，有效调动了干部的工作积极性。以夯实党支部“五化”建设为抓手，严格落实“三会一课”，先后召开主题党日10次、警示教育1次；扎实做好党费收缴管理工作，做到全体党员按时全额上缴；相继组织全体干部职工前往长沙廉政教育警示基地等，积极开展主题党日活动，通过走访参观、文明大清扫、观看红色电影等多种形式开展党性教育，真正用党建统一思想，凝聚人心，推动工作。</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总体而言各项工作取得了新的进展和成效，但是同时也存在一些问题和不足，主要体现在：</w:t>
      </w:r>
    </w:p>
    <w:p>
      <w:pPr>
        <w:widowControl/>
        <w:spacing w:line="600" w:lineRule="exact"/>
        <w:ind w:firstLine="640" w:firstLineChars="200"/>
        <w:jc w:val="left"/>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sz w:val="32"/>
          <w:szCs w:val="32"/>
          <w:lang w:val="en-US" w:eastAsia="zh-CN"/>
        </w:rPr>
        <w:t>1.</w:t>
      </w:r>
      <w:r>
        <w:rPr>
          <w:rFonts w:hint="eastAsia" w:ascii="Times New Roman" w:hAnsi="Times New Roman" w:eastAsia="仿宋_GB2312" w:cs="Times New Roman"/>
          <w:sz w:val="32"/>
          <w:szCs w:val="32"/>
        </w:rPr>
        <w:t>绩效目标量化不够全面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将项目绩效目标细化分解为具体的绩效指标不够细化。因此，我们将结合项目工作目标、工作内容，科学、合理设置</w:t>
      </w:r>
      <w:r>
        <w:rPr>
          <w:rFonts w:hint="eastAsia" w:ascii="Times New Roman" w:hAnsi="Times New Roman" w:cs="Times New Roman"/>
          <w:sz w:val="32"/>
          <w:szCs w:val="32"/>
          <w:lang w:val="en-US" w:eastAsia="zh-CN"/>
        </w:rPr>
        <w:t>项目</w:t>
      </w:r>
      <w:r>
        <w:rPr>
          <w:rFonts w:hint="eastAsia" w:ascii="Times New Roman" w:hAnsi="Times New Roman" w:eastAsia="仿宋_GB2312" w:cs="Times New Roman"/>
          <w:sz w:val="32"/>
          <w:szCs w:val="32"/>
        </w:rPr>
        <w:t>年初绩效目标，严格按资金用途将产出</w:t>
      </w:r>
      <w:r>
        <w:rPr>
          <w:rFonts w:hint="eastAsia" w:ascii="Times New Roman" w:hAnsi="Times New Roman" w:cs="Times New Roman"/>
          <w:sz w:val="32"/>
          <w:szCs w:val="32"/>
          <w:lang w:val="en-US" w:eastAsia="zh-CN"/>
        </w:rPr>
        <w:t>目标</w:t>
      </w:r>
      <w:r>
        <w:rPr>
          <w:rFonts w:hint="eastAsia" w:ascii="Times New Roman" w:hAnsi="Times New Roman" w:eastAsia="仿宋_GB2312" w:cs="Times New Roman"/>
          <w:sz w:val="32"/>
          <w:szCs w:val="32"/>
        </w:rPr>
        <w:t>、质量目标全部细化至三级指标。提高项目经费在编制预算阶段的准确性和效益性，同时，也为项目预算执行过程中和执行完成后的绩效评价奠定基础。项目绩效目标要在定性、定量和定时等三个纬度进行相关细化，使得绩效目标具有可衡量性和可评价性。</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color w:val="auto"/>
          <w:kern w:val="2"/>
          <w:sz w:val="32"/>
          <w:szCs w:val="32"/>
          <w:lang w:val="en-US" w:eastAsia="zh-CN" w:bidi="ar-SA"/>
        </w:rPr>
      </w:pPr>
      <w:r>
        <w:rPr>
          <w:rFonts w:hint="eastAsia" w:ascii="Times New Roman" w:hAnsi="Times New Roman" w:cs="Times New Roman"/>
          <w:color w:val="auto"/>
          <w:kern w:val="2"/>
          <w:sz w:val="32"/>
          <w:szCs w:val="32"/>
          <w:lang w:val="en-US" w:eastAsia="zh-CN" w:bidi="ar-SA"/>
        </w:rPr>
        <w:t>2.</w:t>
      </w:r>
      <w:r>
        <w:rPr>
          <w:rFonts w:hint="eastAsia" w:ascii="Times New Roman" w:hAnsi="Times New Roman" w:eastAsia="仿宋_GB2312" w:cs="Times New Roman"/>
          <w:sz w:val="32"/>
          <w:szCs w:val="32"/>
        </w:rPr>
        <w:t>在管理制度健全性方面，</w:t>
      </w:r>
      <w:r>
        <w:rPr>
          <w:rFonts w:hint="eastAsia" w:ascii="Times New Roman" w:hAnsi="Times New Roman" w:eastAsia="仿宋_GB2312" w:cs="Times New Roman"/>
          <w:color w:val="auto"/>
          <w:kern w:val="2"/>
          <w:sz w:val="32"/>
          <w:szCs w:val="32"/>
          <w:lang w:val="en-US" w:eastAsia="zh-CN" w:bidi="ar-SA"/>
        </w:rPr>
        <w:t>内控制度需进一步完善，随着资金管理改革的进一步推进，我单位内部机构进行了相应的优化，建立健全了财务管理制度、固定资产管理制度、费用报销规程等制度，但仍需进一步强化财务约束监督体制。</w:t>
      </w:r>
    </w:p>
    <w:p>
      <w:pPr>
        <w:widowControl/>
        <w:numPr>
          <w:ilvl w:val="0"/>
          <w:numId w:val="4"/>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widowControl/>
        <w:spacing w:line="600" w:lineRule="exact"/>
        <w:ind w:firstLine="640" w:firstLineChars="200"/>
        <w:jc w:val="left"/>
        <w:rPr>
          <w:rFonts w:hint="eastAsia" w:ascii="Times New Roman" w:hAnsi="Times New Roman" w:eastAsia="黑体" w:cs="Times New Roman"/>
          <w:sz w:val="32"/>
          <w:szCs w:val="32"/>
          <w:lang w:eastAsia="zh-CN"/>
        </w:rPr>
      </w:pPr>
      <w:r>
        <w:rPr>
          <w:rFonts w:hint="eastAsia" w:ascii="Times New Roman" w:hAnsi="宋体" w:cs="宋体"/>
          <w:color w:val="auto"/>
          <w:kern w:val="0"/>
          <w:sz w:val="32"/>
          <w:szCs w:val="32"/>
        </w:rPr>
        <w:t>①按规定内容公开预决算信息；②按规定时限公开预决算信息；③开展绩效运行监控工作，及时了解项目支出进度，预警支出进度慢的项目，确实无法支出的项目是否及时申请调整；④部门履行职责实际完成率100%，完成及时率100%，质量达标率100%，部门履行职责对经济发展所带来的直接或间接影响、对社会发展所带来的直接或间接影响、部门履行职责对生态环境所带来的直接或间接影响、社会公众或部门的服务对象对部门履职效果的满意程度都良好</w:t>
      </w:r>
      <w:r>
        <w:rPr>
          <w:rFonts w:hint="eastAsia" w:ascii="Times New Roman" w:hAnsi="宋体" w:cs="宋体"/>
          <w:color w:val="auto"/>
          <w:kern w:val="0"/>
          <w:sz w:val="32"/>
          <w:szCs w:val="32"/>
          <w:lang w:eastAsia="zh-CN"/>
        </w:rPr>
        <w:t>。</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、其他需要说明的情况</w:t>
      </w:r>
    </w:p>
    <w:p>
      <w:pPr>
        <w:widowControl/>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附件：1</w:t>
      </w:r>
      <w:r>
        <w:rPr>
          <w:rFonts w:hint="eastAsia" w:ascii="Times New Roman" w:hAnsi="Times New Roman" w:cs="Times New Roman"/>
          <w:sz w:val="32"/>
          <w:szCs w:val="32"/>
          <w:lang w:val="en-US" w:eastAsia="zh-CN"/>
        </w:rPr>
        <w:t>.</w:t>
      </w:r>
      <w:r>
        <w:rPr>
          <w:rFonts w:ascii="Times New Roman" w:hAnsi="Times New Roman" w:eastAsia="仿宋_GB2312" w:cs="Times New Roman"/>
          <w:sz w:val="32"/>
          <w:szCs w:val="32"/>
        </w:rPr>
        <w:t>部门整体支出绩效评价基础数据表</w:t>
      </w:r>
    </w:p>
    <w:p>
      <w:pPr>
        <w:widowControl/>
        <w:spacing w:line="60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cs="Times New Roman"/>
          <w:sz w:val="32"/>
          <w:szCs w:val="32"/>
          <w:lang w:val="en-US" w:eastAsia="zh-CN"/>
        </w:rPr>
        <w:t>.</w:t>
      </w:r>
      <w:r>
        <w:rPr>
          <w:rFonts w:ascii="Times New Roman" w:hAnsi="Times New Roman" w:eastAsia="仿宋_GB2312" w:cs="Times New Roman"/>
          <w:sz w:val="32"/>
          <w:szCs w:val="32"/>
        </w:rPr>
        <w:t>部门整体支出绩效评价指标评分表</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14E3F9"/>
    <w:multiLevelType w:val="singleLevel"/>
    <w:tmpl w:val="E514E3F9"/>
    <w:lvl w:ilvl="0" w:tentative="0">
      <w:start w:val="1"/>
      <w:numFmt w:val="decimal"/>
      <w:suff w:val="nothing"/>
      <w:lvlText w:val="%1、"/>
      <w:lvlJc w:val="left"/>
    </w:lvl>
  </w:abstractNum>
  <w:abstractNum w:abstractNumId="1">
    <w:nsid w:val="F8E61A97"/>
    <w:multiLevelType w:val="singleLevel"/>
    <w:tmpl w:val="F8E61A97"/>
    <w:lvl w:ilvl="0" w:tentative="0">
      <w:start w:val="5"/>
      <w:numFmt w:val="chineseCounting"/>
      <w:suff w:val="nothing"/>
      <w:lvlText w:val="%1、"/>
      <w:lvlJc w:val="left"/>
      <w:rPr>
        <w:rFonts w:hint="eastAsia"/>
      </w:rPr>
    </w:lvl>
  </w:abstractNum>
  <w:abstractNum w:abstractNumId="2">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N2U1ZmYyODlhMmIzOTYyMzRlMzU3NGM3MTNmNzMifQ=="/>
  </w:docVars>
  <w:rsids>
    <w:rsidRoot w:val="298873D1"/>
    <w:rsid w:val="298873D1"/>
    <w:rsid w:val="4E6C4D88"/>
    <w:rsid w:val="69BE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文本1"/>
    <w:basedOn w:val="1"/>
    <w:qFormat/>
    <w:uiPriority w:val="0"/>
  </w:style>
  <w:style w:type="paragraph" w:styleId="3">
    <w:name w:val="Body Text"/>
    <w:basedOn w:val="1"/>
    <w:next w:val="4"/>
    <w:unhideWhenUsed/>
    <w:qFormat/>
    <w:uiPriority w:val="99"/>
    <w:pPr>
      <w:widowControl w:val="0"/>
      <w:spacing w:after="120"/>
      <w:jc w:val="both"/>
    </w:pPr>
    <w:rPr>
      <w:rFonts w:ascii="Times New Roman" w:hAnsi="Times New Roman" w:eastAsia="仿宋_GB2312" w:cs="Times New Roman"/>
      <w:kern w:val="2"/>
      <w:sz w:val="28"/>
      <w:lang w:val="en-US" w:eastAsia="zh-CN" w:bidi="ar-SA"/>
    </w:rPr>
  </w:style>
  <w:style w:type="paragraph" w:styleId="4">
    <w:name w:val="Body Text First Indent"/>
    <w:basedOn w:val="3"/>
    <w:next w:val="5"/>
    <w:qFormat/>
    <w:uiPriority w:val="99"/>
    <w:pPr>
      <w:widowControl w:val="0"/>
      <w:spacing w:after="120"/>
      <w:ind w:firstLine="420" w:firstLineChars="100"/>
      <w:jc w:val="both"/>
    </w:pPr>
    <w:rPr>
      <w:rFonts w:ascii="Times New Roman" w:hAnsi="Times New Roman" w:eastAsia="仿宋_GB2312" w:cs="Times New Roman"/>
      <w:kern w:val="2"/>
      <w:sz w:val="28"/>
      <w:lang w:val="en-US" w:eastAsia="zh-CN" w:bidi="ar-SA"/>
    </w:rPr>
  </w:style>
  <w:style w:type="paragraph" w:styleId="5">
    <w:name w:val="Body Text Indent 3"/>
    <w:basedOn w:val="1"/>
    <w:qFormat/>
    <w:uiPriority w:val="0"/>
    <w:pPr>
      <w:spacing w:after="120"/>
      <w:ind w:left="420"/>
    </w:p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3817</Words>
  <Characters>4035</Characters>
  <Lines>0</Lines>
  <Paragraphs>0</Paragraphs>
  <TotalTime>3</TotalTime>
  <ScaleCrop>false</ScaleCrop>
  <LinksUpToDate>false</LinksUpToDate>
  <CharactersWithSpaces>4046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2022-09-16T06:58:00Z</dcterms:created>
  <dc:creator>交通局-财务科小戴</dc:creator>
  <cp:lastModifiedBy>交通局-财务科小戴</cp:lastModifiedBy>
  <dcterms:modified xsi:type="dcterms:W3CDTF">2022-09-16T07:03:12Z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5F7D6C82C6F7443BAED7E33815B388A9</vt:lpwstr>
  </property>
</Properties>
</file>