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开福区发展和改革局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年度部门整体支出绩效评价报告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color w:val="auto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rPr>
          <w:rFonts w:hint="eastAsia" w:ascii="楷体_GB2312" w:hAnsi="仿宋" w:eastAsia="楷体_GB2312"/>
          <w:b/>
          <w:color w:val="auto"/>
          <w:sz w:val="32"/>
          <w:szCs w:val="32"/>
        </w:rPr>
      </w:pPr>
      <w:r>
        <w:rPr>
          <w:rFonts w:hint="eastAsia" w:ascii="楷体_GB2312" w:hAnsi="仿宋" w:eastAsia="楷体_GB2312"/>
          <w:b/>
          <w:color w:val="auto"/>
          <w:sz w:val="32"/>
          <w:szCs w:val="32"/>
          <w:lang w:val="en-US" w:eastAsia="zh-CN"/>
        </w:rPr>
        <w:t>（一）部门基本情</w:t>
      </w:r>
      <w:bookmarkStart w:id="0" w:name="_GoBack"/>
      <w:bookmarkEnd w:id="0"/>
      <w:r>
        <w:rPr>
          <w:rFonts w:hint="eastAsia" w:ascii="楷体_GB2312" w:hAnsi="仿宋" w:eastAsia="楷体_GB2312"/>
          <w:b/>
          <w:color w:val="auto"/>
          <w:sz w:val="32"/>
          <w:szCs w:val="32"/>
          <w:lang w:val="en-US" w:eastAsia="zh-CN"/>
        </w:rPr>
        <w:t>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长沙市开福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区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发展和改革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局属财政全额拨款预算行政单位，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2020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人员情况：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本部门编制数 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24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 人，在职人数 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24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人，其中：在岗人数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24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 人；编外长期聘用人员 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7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人；离退休人数 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人，其中离休人员 0 人，退休人员 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 人。本部门由 1 个行政单位, 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个二级机构及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6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个职能科室</w:t>
      </w: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组成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，二级机构包括：开福区重点建设项目事务中心。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rPr>
          <w:rFonts w:hint="eastAsia" w:ascii="楷体_GB2312" w:hAnsi="仿宋" w:eastAsia="楷体_GB2312"/>
          <w:b/>
          <w:color w:val="auto"/>
          <w:sz w:val="32"/>
          <w:szCs w:val="32"/>
        </w:rPr>
      </w:pPr>
      <w:r>
        <w:rPr>
          <w:rFonts w:hint="eastAsia" w:ascii="楷体_GB2312" w:hAnsi="仿宋" w:eastAsia="楷体_GB2312"/>
          <w:b/>
          <w:color w:val="auto"/>
          <w:sz w:val="32"/>
          <w:szCs w:val="32"/>
        </w:rPr>
        <w:t>（二）当年取得的主要事业成效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1、引导、促进全区经济结构调整和经济社会可持续发展。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2、指导调度重点项目建设。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3、负责全区招投标的指导、协调、监督和管理工作。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4、指导协调全区两型社会建设综合配套改革工作。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5、研究能源开发与利用，推动全区能源战略升级和能源行业发展。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6、贯彻落实有关价格的法律法规和价费改革的各项政策措施，维护价格市场稳定。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7、做好老旧小区餐厨油烟治理工作。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default" w:eastAsia="仿宋_GB2312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theme="minorBidi"/>
          <w:color w:val="auto"/>
          <w:kern w:val="0"/>
          <w:sz w:val="32"/>
          <w:szCs w:val="32"/>
          <w:lang w:val="en-US" w:eastAsia="zh-CN" w:bidi="ar-SA"/>
        </w:rPr>
        <w:t>8、积极稳步推进电力工作。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二、收入支出预算执行情况分析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2020年开福区财政局批复部门年初预算为1902.77万元，2020年一般公共预算拨款收入1902.77万元，具体安排情况如下：（一）基本支出：2020年预算数为754.27万元，包括用于基本工资、津贴补贴等人员经费以及日常公用经费。（二）项目支出：2020年预算数为1148.5万元，其中：节能专项经费135万元，两型社会建设工作经费42.75万元，发展与改革工作经费8.55万元，投资管理工作经费17.10万元，遗留办工作经费114万元，物价工作经费8.55万元，重点办工作经费70.30万元，能源管理工作经费47.5万元，产业办（含一圈二场三道）工作经费100万，餐厨油烟净化项目经费600万元,公共机构节能工作经费4.75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rPr>
          <w:rFonts w:hint="eastAsia" w:ascii="楷体_GB2312" w:hAnsi="仿宋" w:eastAsia="楷体_GB2312"/>
          <w:b/>
          <w:color w:val="auto"/>
          <w:sz w:val="32"/>
          <w:szCs w:val="32"/>
        </w:rPr>
      </w:pPr>
      <w:r>
        <w:rPr>
          <w:rFonts w:hint="default" w:ascii="楷体_GB2312" w:hAnsi="仿宋" w:eastAsia="楷体_GB2312"/>
          <w:b/>
          <w:color w:val="auto"/>
          <w:sz w:val="32"/>
          <w:szCs w:val="32"/>
          <w:lang w:val="en-US" w:eastAsia="zh-CN"/>
        </w:rPr>
        <w:t>（一）基本支出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2020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年度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开福区发改局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基本支出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718.03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万元，主要系保障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开福区发改局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机构正常运转、完成日常工作任务而发生的各项支出，包括用于在职基本工资、津补贴等人员经费及办公费、工会经费等日常公用经费。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rPr>
          <w:rFonts w:hint="eastAsia" w:ascii="楷体_GB2312" w:hAnsi="仿宋" w:eastAsia="楷体_GB2312"/>
          <w:b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仿宋" w:eastAsia="楷体_GB2312"/>
          <w:b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楷体_GB2312" w:hAnsi="仿宋" w:eastAsia="楷体_GB2312"/>
          <w:b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楷体_GB2312" w:hAnsi="仿宋" w:eastAsia="楷体_GB2312"/>
          <w:b/>
          <w:color w:val="auto"/>
          <w:sz w:val="32"/>
          <w:szCs w:val="32"/>
          <w:lang w:val="en-US" w:eastAsia="zh-CN"/>
        </w:rPr>
        <w:t>支出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2020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年度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开福区发改局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项目经费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支出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为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6631.11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万元，全部为财政拨款。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四、部门专项组织实施情况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开福区发改局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对财政专项资金的分配、使用和管理按照专款专用；统一支付、严格把关；跟踪问效、责任追究的原则进行管理。认真开展专项资金绩效管理，在资金分配中的项目申报、评审和安排，均按规定严格执行，每一笔收支都做到有依据、有凭证、有程序、有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五、部门整体支出绩效情况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、预算支出为做好全区发展改革工作提供可持续性经费保障。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、预算支出对于争取上级预算内投资发挥了效率性作用。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六、存在的主要问题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对部门整体支出绩效管理工作还</w:t>
      </w:r>
      <w:r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需进一步</w:t>
      </w: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加强。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七、改进措施和有关建议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0" w:right="0" w:firstLine="640"/>
        <w:jc w:val="left"/>
        <w:textAlignment w:val="center"/>
        <w:rPr>
          <w:rFonts w:hint="eastAsia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eastAsia="仿宋_GB2312" w:asciiTheme="minorHAnsi" w:hAnsiTheme="minorHAnsi" w:cstheme="minorBidi"/>
          <w:color w:val="auto"/>
          <w:kern w:val="0"/>
          <w:sz w:val="32"/>
          <w:szCs w:val="32"/>
          <w:lang w:val="en-US" w:eastAsia="zh-CN" w:bidi="ar-SA"/>
        </w:rPr>
        <w:t>日后需进一步加强业务知识学习，提升认识，重点管理，做好目标绩效管理工作。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MWM0MzM0M2JiYTZjMmQ0ZDIxOWRlNjJlZmVkZTkifQ=="/>
  </w:docVars>
  <w:rsids>
    <w:rsidRoot w:val="00000000"/>
    <w:rsid w:val="20D853FF"/>
    <w:rsid w:val="336244E6"/>
    <w:rsid w:val="45B317B5"/>
    <w:rsid w:val="7904263C"/>
    <w:rsid w:val="7DB7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1064</Words>
  <Characters>1166</Characters>
  <Lines>0</Lines>
  <Paragraphs>0</Paragraphs>
  <TotalTime>2</TotalTime>
  <ScaleCrop>false</ScaleCrop>
  <LinksUpToDate>false</LinksUpToDate>
  <CharactersWithSpaces>1170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2022-07-12T09:36:00Z</dcterms:created>
  <dc:creator>Administrator</dc:creator>
  <cp:lastModifiedBy>Administrator</cp:lastModifiedBy>
  <dcterms:modified xsi:type="dcterms:W3CDTF">2022-08-19T02:51:08Z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87CCC427A60447F48A574874015868EB</vt:lpwstr>
  </property>
</Properties>
</file>