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ind w:right="1053" w:rightChars="376" w:firstLine="988" w:firstLineChars="206"/>
        <w:jc w:val="center"/>
        <w:outlineLvl w:val="0"/>
        <w:rPr>
          <w:rFonts w:eastAsia="方正小标宋_GBK"/>
          <w:sz w:val="48"/>
          <w:szCs w:val="48"/>
        </w:rPr>
      </w:pPr>
      <w:r>
        <w:rPr>
          <w:rFonts w:hint="eastAsia" w:eastAsia="方正小标宋_GBK"/>
          <w:sz w:val="48"/>
          <w:szCs w:val="48"/>
          <w:lang w:val="en-US" w:eastAsia="zh-CN"/>
        </w:rPr>
        <w:t>2022</w:t>
      </w:r>
      <w:r>
        <w:rPr>
          <w:rFonts w:eastAsia="方正小标宋_GBK"/>
          <w:sz w:val="48"/>
          <w:szCs w:val="48"/>
        </w:rPr>
        <w:t>年度</w:t>
      </w:r>
      <w:r>
        <w:rPr>
          <w:rFonts w:hint="eastAsia" w:eastAsia="方正小标宋_GBK"/>
          <w:sz w:val="48"/>
          <w:szCs w:val="48"/>
          <w:lang w:eastAsia="zh-CN"/>
        </w:rPr>
        <w:t>开福区城市管理综合执法大队</w:t>
      </w:r>
      <w:r>
        <w:rPr>
          <w:rFonts w:eastAsia="方正小标宋_GBK"/>
          <w:sz w:val="48"/>
          <w:szCs w:val="48"/>
        </w:rPr>
        <w:t>整体支出绩效自评报告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单位名称（盖章）：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一、基本情况</w:t>
      </w:r>
    </w:p>
    <w:p>
      <w:pPr>
        <w:spacing w:line="570" w:lineRule="atLeas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（一）部门（单位）基本情况</w:t>
      </w:r>
      <w:bookmarkStart w:id="0" w:name="FUNCRESP"/>
    </w:p>
    <w:bookmarkEnd w:id="0"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" w:beforeAutospacing="0" w:after="24" w:afterAutospacing="0" w:line="432" w:lineRule="atLeast"/>
        <w:ind w:left="0" w:right="0" w:firstLine="420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  <w:t>(1)行使城乡规划管理方面法律、法规、规章规定的部分行政处罚权；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" w:beforeAutospacing="0" w:after="24" w:afterAutospacing="0" w:line="432" w:lineRule="atLeast"/>
        <w:ind w:left="0" w:right="0" w:firstLine="420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  <w:t>(2)行使市容环境卫生管理方面法律、法规、规章规定的行政处罚权；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" w:beforeAutospacing="0" w:after="24" w:afterAutospacing="0" w:line="432" w:lineRule="atLeast"/>
        <w:ind w:left="0" w:right="0" w:firstLine="420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  <w:t>(3)行使城市园林绿化管理方面法律、法规、规章规定的行政处罚权；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" w:beforeAutospacing="0" w:after="24" w:afterAutospacing="0" w:line="432" w:lineRule="atLeast"/>
        <w:ind w:left="0" w:right="0" w:firstLine="420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  <w:t>(4)行使环境保护管理方面法律、法规、规章规定的部分行政处罚权：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" w:beforeAutospacing="0" w:after="24" w:afterAutospacing="0" w:line="432" w:lineRule="atLeast"/>
        <w:ind w:left="0" w:right="0" w:firstLine="420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  <w:t>(5)行使工商行政管理方面法律、法规、规章规定的对无照商贩的行政处罚权；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" w:beforeAutospacing="0" w:after="24" w:afterAutospacing="0" w:line="432" w:lineRule="atLeast"/>
        <w:ind w:left="0" w:right="0" w:firstLine="420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  <w:t>(6)行使公安交通管理方面法律、法规、规章规定的部分行政处罚权；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" w:beforeAutospacing="0" w:after="24" w:afterAutospacing="0" w:line="432" w:lineRule="atLeast"/>
        <w:ind w:left="0" w:right="0" w:firstLine="420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  <w:t>(7)行使市政管理方面法律、法规、规章规定的行政处罚权；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" w:beforeAutospacing="0" w:after="24" w:afterAutospacing="0" w:line="432" w:lineRule="atLeast"/>
        <w:ind w:left="0" w:right="0" w:firstLine="420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  <w:t>(8)行使土地管理方面法律、法规、规章规定的违法占用集体土地修建建筑物和设施的行政处罚权；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" w:beforeAutospacing="0" w:after="24" w:afterAutospacing="0" w:line="432" w:lineRule="atLeast"/>
        <w:ind w:left="0" w:right="0" w:firstLine="420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  <w:t>(9)行使户外广告设置管理方面法律、法规、规章规定的行政处罚权；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" w:beforeAutospacing="0" w:after="24" w:afterAutospacing="0" w:line="432" w:lineRule="atLeast"/>
        <w:ind w:left="0" w:right="0" w:firstLine="420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  <w:t>(10)履行法律、法规、规章或者省、市人民政府规定的其他职责；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" w:beforeAutospacing="0" w:after="24" w:afterAutospacing="0" w:line="432" w:lineRule="atLeast"/>
        <w:ind w:left="0" w:right="0" w:firstLine="420"/>
        <w:jc w:val="both"/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24"/>
          <w:lang w:val="en-US" w:eastAsia="zh-CN" w:bidi="ar-SA"/>
        </w:rPr>
        <w:t>(11)完成区委、区政府交办的相关工作。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部门（单位）年度整体支出绩效目标，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级专项资金绩效目标、其他项目支出（除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级专项资金以外）绩效目标</w:t>
      </w:r>
    </w:p>
    <w:p>
      <w:pPr>
        <w:pStyle w:val="2"/>
        <w:numPr>
          <w:ilvl w:val="0"/>
          <w:numId w:val="0"/>
        </w:numPr>
        <w:ind w:firstLine="640" w:firstLineChars="200"/>
      </w:pP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查处违规处置渣土案件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2"/>
          <w:szCs w:val="44"/>
          <w:lang w:val="en-US" w:eastAsia="zh-CN"/>
        </w:rPr>
        <w:t>000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起</w:t>
      </w:r>
      <w:r>
        <w:rPr>
          <w:rFonts w:hint="eastAsia" w:ascii="仿宋_GB2312" w:hAnsi="仿宋_GB2312" w:cs="仿宋_GB2312"/>
          <w:color w:val="auto"/>
          <w:sz w:val="32"/>
          <w:szCs w:val="44"/>
          <w:lang w:val="en-US" w:eastAsia="zh-CN"/>
        </w:rPr>
        <w:t>以上；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查处露天焚烧案件</w:t>
      </w:r>
      <w:r>
        <w:rPr>
          <w:rFonts w:hint="eastAsia" w:ascii="仿宋_GB2312" w:hAnsi="仿宋_GB2312" w:cs="仿宋_GB2312"/>
          <w:color w:val="auto"/>
          <w:sz w:val="32"/>
          <w:szCs w:val="4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起</w:t>
      </w:r>
      <w:r>
        <w:rPr>
          <w:rFonts w:hint="eastAsia" w:ascii="仿宋_GB2312" w:hAnsi="仿宋_GB2312" w:cs="仿宋_GB2312"/>
          <w:color w:val="auto"/>
          <w:sz w:val="32"/>
          <w:szCs w:val="44"/>
          <w:lang w:val="en-US" w:eastAsia="zh-CN"/>
        </w:rPr>
        <w:t>以上；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切实推进垃圾分类落地落细落实，共查处案件</w:t>
      </w:r>
      <w:r>
        <w:rPr>
          <w:rFonts w:hint="eastAsia" w:ascii="仿宋_GB2312" w:hAnsi="仿宋_GB2312" w:cs="仿宋_GB2312"/>
          <w:color w:val="auto"/>
          <w:sz w:val="32"/>
          <w:szCs w:val="44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起</w:t>
      </w:r>
      <w:r>
        <w:rPr>
          <w:rFonts w:hint="eastAsia" w:ascii="仿宋_GB2312" w:hAnsi="仿宋_GB2312" w:cs="仿宋_GB2312"/>
          <w:color w:val="auto"/>
          <w:sz w:val="32"/>
          <w:szCs w:val="44"/>
          <w:lang w:val="en-US" w:eastAsia="zh-CN"/>
        </w:rPr>
        <w:t>以上。</w:t>
      </w:r>
    </w:p>
    <w:p>
      <w:pPr>
        <w:pStyle w:val="10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pStyle w:val="10"/>
        <w:spacing w:line="60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pStyle w:val="6"/>
        <w:shd w:val="clear" w:color="auto" w:fill="FFFFFF"/>
        <w:spacing w:before="0" w:beforeAutospacing="0" w:after="0" w:afterAutospacing="0" w:line="432" w:lineRule="atLeast"/>
        <w:ind w:left="686" w:leftChars="245" w:firstLine="633" w:firstLineChars="198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年基本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支出为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9166.06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  <w:t>万元，是指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为保障单位机构正常运转、完成日常工作任务而发生的各项支出，包括用于基本工资、津贴补贴等人员经费和办公费、印刷费、办公设备购置等日常公用经费。</w:t>
      </w:r>
    </w:p>
    <w:p>
      <w:pPr>
        <w:pStyle w:val="10"/>
        <w:spacing w:line="60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（二）项目支出情况</w:t>
      </w:r>
    </w:p>
    <w:p>
      <w:pPr>
        <w:widowControl/>
        <w:spacing w:line="600" w:lineRule="exact"/>
        <w:ind w:left="686" w:leftChars="245" w:firstLine="633" w:firstLineChars="198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年项目支出为</w:t>
      </w:r>
      <w:r>
        <w:rPr>
          <w:rFonts w:hint="eastAsia"/>
          <w:sz w:val="32"/>
          <w:szCs w:val="32"/>
          <w:lang w:val="en-US" w:eastAsia="zh-CN"/>
        </w:rPr>
        <w:t>404.47</w:t>
      </w:r>
      <w:r>
        <w:rPr>
          <w:rFonts w:hint="eastAsia"/>
          <w:sz w:val="32"/>
          <w:szCs w:val="32"/>
        </w:rPr>
        <w:t>万元，是指单位为完成特定行政工作任务或事业发展目标而发生的支出。</w:t>
      </w:r>
    </w:p>
    <w:p>
      <w:pPr>
        <w:pStyle w:val="10"/>
        <w:numPr>
          <w:ilvl w:val="0"/>
          <w:numId w:val="2"/>
        </w:numPr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pStyle w:val="10"/>
        <w:numPr>
          <w:ilvl w:val="0"/>
          <w:numId w:val="0"/>
        </w:numPr>
        <w:spacing w:line="600" w:lineRule="exact"/>
        <w:ind w:firstLine="1280" w:firstLineChars="4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无</w:t>
      </w:r>
    </w:p>
    <w:p>
      <w:pPr>
        <w:pStyle w:val="10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10"/>
        <w:numPr>
          <w:ilvl w:val="0"/>
          <w:numId w:val="0"/>
        </w:numPr>
        <w:spacing w:line="600" w:lineRule="exact"/>
        <w:ind w:leftChars="200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 xml:space="preserve">    无</w:t>
      </w:r>
    </w:p>
    <w:p>
      <w:pPr>
        <w:pStyle w:val="10"/>
        <w:numPr>
          <w:ilvl w:val="0"/>
          <w:numId w:val="2"/>
        </w:numPr>
        <w:spacing w:line="600" w:lineRule="exact"/>
        <w:ind w:left="0" w:leftChars="0"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10"/>
        <w:numPr>
          <w:ilvl w:val="0"/>
          <w:numId w:val="0"/>
        </w:numPr>
        <w:spacing w:line="600" w:lineRule="exact"/>
        <w:ind w:firstLine="1280" w:firstLineChars="4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无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六、部门整体支出绩效情况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）融入建党百年，全力推进队伍建设。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坚持以庆祝中国共产党建党100周年为重要契机，以党建为引领、任务为牵引、考核为促进、制度为保证，全力推进城管执法队伍建设。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一是强化党建引领。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坚持把强化党委核心领导、支部战斗堡垒和党员先锋模范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作为贯彻各级决策部署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推进各项工作落实，提质城市管理水平的重要牵引和核心支撑，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 w:bidi="ar-SA"/>
        </w:rPr>
        <w:t>党委班子认真履行班子成员“一岗双责”，整体调度、联点联系，分线分管、分片整治，民主集中、集体决策，督查交办、约谈追责的组织调度机制运转良好；支部书记履好党建工作“第一责任人”职责，常态落实“三会一课”、主题党日、组织生活等制度，支部建设“五化”水平进一步提升；党员干部冲锋在前、勇于担当，“跟我上”“看我的”蔚然成风，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推动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各项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工作落实落地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，涌现出栗方成、乐凤麟等一批优秀代表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二是推进党史学习。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落实区委通知要求，抓紧关键少数，抓实全员覆盖，抓牢学习效果，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得到区委党史学习教育第一督学组的高度肯定。</w:t>
      </w:r>
      <w:r>
        <w:rPr>
          <w:rFonts w:hint="eastAsia" w:ascii="仿宋_GB2312" w:eastAsia="仿宋_GB2312"/>
          <w:sz w:val="32"/>
          <w:szCs w:val="32"/>
        </w:rPr>
        <w:t>“规定动作”</w:t>
      </w:r>
      <w:r>
        <w:rPr>
          <w:rFonts w:hint="eastAsia" w:ascii="仿宋_GB2312" w:eastAsia="仿宋_GB2312"/>
          <w:sz w:val="32"/>
          <w:szCs w:val="32"/>
          <w:lang w:eastAsia="zh-CN"/>
        </w:rPr>
        <w:t>不折不扣、有序推进，第一时间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制定方案计划，为全体执法干部配置了1套指定用书，大队领导坚持每周早会讲党史故事，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学史增信、学史崇德2个主题宣讲辅导、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学习贯彻党的十九届五中全会精神暨党史学习教育”轮训和红色电影观影活动组织严密、效果明显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eastAsia="仿宋_GB2312"/>
          <w:sz w:val="32"/>
          <w:szCs w:val="32"/>
        </w:rPr>
        <w:t>“自选动作”</w:t>
      </w:r>
      <w:r>
        <w:rPr>
          <w:rFonts w:hint="eastAsia" w:ascii="仿宋_GB2312" w:eastAsia="仿宋_GB2312"/>
          <w:sz w:val="32"/>
          <w:szCs w:val="32"/>
          <w:lang w:eastAsia="zh-CN"/>
        </w:rPr>
        <w:t>紧贴实际、特色鲜明，各支部结合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自身实际，组织了丰富多样的主题党日活动，深入开展学习讨论，切实将学习成果用于指导工作落实，发放5000余张便民服务卡，将“我为群众办实事”落到实处，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相关工作被区级简报采用5次，在市级新闻报道3次。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三是加大考核力度。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贯彻落实区委组织部《关于开展机关事业单位工作人员平时考核工作方案》的相关要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求，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着眼解决“干与不干、干多干少、干好干坏一个样”的问题，按照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考核对象全员覆盖、考核内容要素齐全、考核方式同频共振的原则，建立健全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业绩考核与岗位职责相结合、领导评定与民主评议相结合、平时考核与年度考核相结合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的考核模式，基本形成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任务具体、职责清晰、工作量化、动态管理、实绩公开的考核体系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，用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3类14项58条考核指标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科学评价全体执法干部职工的德、能、勤、绩、廉日常表现，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进一步激发了干部职工担当作为、干事创业的热情。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四是坚持正风肃纪。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贯彻落实中纪委十九届五次全会着力整治群众身边腐败和作风问题、省纪委监委整治违规吃喝隐形变异“十严禁”等文件精神，结合当前队伍内部存在的实际问题，严肃</w:t>
      </w:r>
      <w:r>
        <w:rPr>
          <w:rFonts w:hint="eastAsia" w:ascii="仿宋_GB2312" w:eastAsia="仿宋_GB2312"/>
          <w:sz w:val="32"/>
          <w:szCs w:val="32"/>
        </w:rPr>
        <w:t>开展城管执法队伍作风纪律建设整顿</w:t>
      </w:r>
      <w:r>
        <w:rPr>
          <w:rFonts w:hint="eastAsia" w:ascii="仿宋_GB2312" w:eastAsia="仿宋_GB2312"/>
          <w:sz w:val="32"/>
          <w:szCs w:val="32"/>
          <w:lang w:eastAsia="zh-CN"/>
        </w:rPr>
        <w:t>，通过</w:t>
      </w:r>
      <w:r>
        <w:rPr>
          <w:rFonts w:hint="eastAsia" w:ascii="仿宋_GB2312" w:eastAsia="仿宋_GB2312"/>
          <w:sz w:val="32"/>
          <w:szCs w:val="32"/>
        </w:rPr>
        <w:t>召开专题组织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生活会、签订个人公开承诺书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组织党风廉政</w:t>
      </w:r>
      <w:r>
        <w:rPr>
          <w:rFonts w:hint="eastAsia" w:ascii="仿宋_GB2312" w:eastAsia="仿宋_GB2312"/>
          <w:sz w:val="32"/>
          <w:szCs w:val="32"/>
        </w:rPr>
        <w:t>警示教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育（长沙市廉政教育基地）、加强队伍建设专项督查（联合驻局纪检监察组）、开展便民服务活动等措施，教育引导全体干部职工严格执行“八条禁令”，真正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敬畏纪律、遵规守矩、严守底线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，进一步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夯实思想防线、练强拒腐内功,推进队伍全面建设。上半年，大队3名违规违纪的执法干部受到从严从重处理，1名拒不缴纳党费的党员被党内除名。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）紧扣显性变化，聚力提质市容环境。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扣“市容环境发生显性变化”的目标和要求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，按照“全体动员、全力以赴，全域整治、全面达标”的思路，瞄准环境卫生“脏、乱、差”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市容秩序“违、堵、占”等突出问题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，以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重点区域、重点路段为突破口，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分解任务、细化措施、规定时限、压实责任，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把执法队伍的思想认识统一到市委市政府、区委区政府的决策部署上来，以主人翁的姿态投身“精美开福”建设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一是强力整治顽疾。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加大执法巡查、集中整治的频度和力度，全面整治</w:t>
      </w:r>
      <w:r>
        <w:rPr>
          <w:rFonts w:hint="eastAsia" w:ascii="仿宋_GB2312" w:eastAsia="仿宋_GB2312"/>
          <w:sz w:val="32"/>
          <w:szCs w:val="32"/>
          <w:lang w:eastAsia="zh-CN"/>
        </w:rPr>
        <w:t>市容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环境顽瘴痼疾，查处各类案件5264起、罚款3401128元（不含违停机动抄牌）。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①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广告招牌整治，市级交办12处已完成10处（2处暂缓），区级自查262处全部完成，凯乐国际“华声在线”、华创国际“山东高速”、三一大道“绿地V岛”、芙蓉中路“富兴CFC”、开福寺路“天健中心”等超高、超大户外广告，均按时、安全完成拆除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②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违法停车整治，由主次干道向背街小巷拓展，建设完成区级城管违停执法平台，清理共享单车6000余辆，抄罚违停机动车29059台次；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施工围档整治，对全区施工项目的围挡设置情况大密度、高强度摸排，市级交办305条已全部完成；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④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违法建设整治，</w:t>
      </w:r>
      <w:r>
        <w:rPr>
          <w:rFonts w:hint="eastAsia" w:ascii="仿宋_GB2312" w:eastAsia="仿宋_GB2312"/>
          <w:kern w:val="0"/>
          <w:sz w:val="32"/>
          <w:szCs w:val="32"/>
        </w:rPr>
        <w:t>建立健全防违控违长效管理机制，加强与数字化、</w:t>
      </w:r>
      <w:r>
        <w:rPr>
          <w:rFonts w:ascii="仿宋_GB2312" w:eastAsia="仿宋_GB2312"/>
          <w:kern w:val="0"/>
          <w:sz w:val="32"/>
          <w:szCs w:val="32"/>
        </w:rPr>
        <w:t>12345</w:t>
      </w:r>
      <w:r>
        <w:rPr>
          <w:rFonts w:hint="eastAsia" w:ascii="仿宋_GB2312" w:eastAsia="仿宋_GB2312"/>
          <w:kern w:val="0"/>
          <w:sz w:val="32"/>
          <w:szCs w:val="32"/>
        </w:rPr>
        <w:t>以及</w:t>
      </w:r>
      <w:r>
        <w:rPr>
          <w:rFonts w:ascii="仿宋_GB2312" w:eastAsia="仿宋_GB2312"/>
          <w:kern w:val="0"/>
          <w:sz w:val="32"/>
          <w:szCs w:val="32"/>
        </w:rPr>
        <w:t>12319</w:t>
      </w:r>
      <w:r>
        <w:rPr>
          <w:rFonts w:hint="eastAsia" w:ascii="仿宋_GB2312" w:eastAsia="仿宋_GB2312"/>
          <w:kern w:val="0"/>
          <w:sz w:val="32"/>
          <w:szCs w:val="32"/>
        </w:rPr>
        <w:t>等平台的联系，将日常巡控与平台数据相结合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，常态巡查、</w:t>
      </w:r>
      <w:r>
        <w:rPr>
          <w:rFonts w:hint="eastAsia" w:ascii="仿宋_GB2312" w:eastAsia="仿宋_GB2312"/>
          <w:kern w:val="0"/>
          <w:sz w:val="32"/>
          <w:szCs w:val="32"/>
        </w:rPr>
        <w:t>动态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管控，</w:t>
      </w:r>
      <w:r>
        <w:rPr>
          <w:rFonts w:hint="eastAsia" w:ascii="仿宋_GB2312" w:eastAsia="仿宋_GB2312"/>
          <w:kern w:val="0"/>
          <w:sz w:val="32"/>
          <w:szCs w:val="32"/>
        </w:rPr>
        <w:t>查处新建违法建设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107</w:t>
      </w:r>
      <w:r>
        <w:rPr>
          <w:rFonts w:hint="eastAsia" w:ascii="仿宋_GB2312" w:eastAsia="仿宋_GB2312"/>
          <w:kern w:val="0"/>
          <w:sz w:val="32"/>
          <w:szCs w:val="32"/>
        </w:rPr>
        <w:t>处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15733</w:t>
      </w:r>
      <w:r>
        <w:rPr>
          <w:rFonts w:hint="eastAsia" w:ascii="仿宋_GB2312" w:eastAsia="仿宋_GB2312"/>
          <w:kern w:val="0"/>
          <w:sz w:val="32"/>
          <w:szCs w:val="32"/>
        </w:rPr>
        <w:t>㎡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拆除历史违建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595</w:t>
      </w:r>
      <w:r>
        <w:rPr>
          <w:rFonts w:hint="eastAsia" w:ascii="仿宋_GB2312" w:eastAsia="仿宋_GB2312"/>
          <w:kern w:val="0"/>
          <w:sz w:val="32"/>
          <w:szCs w:val="32"/>
        </w:rPr>
        <w:t>处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132027</w:t>
      </w:r>
      <w:r>
        <w:rPr>
          <w:rFonts w:hint="eastAsia" w:ascii="仿宋_GB2312" w:eastAsia="仿宋_GB2312"/>
          <w:kern w:val="0"/>
          <w:sz w:val="32"/>
          <w:szCs w:val="32"/>
        </w:rPr>
        <w:t>㎡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二是强化执法保障。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全体执法队员发扬不怕吃苦、连续作战的精神，严格落实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路面显性勤务要求，在省直单位、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出入城口、主次干道等重点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部位设立</w:t>
      </w:r>
      <w:r>
        <w:rPr>
          <w:rFonts w:hint="eastAsia" w:ascii="仿宋_GB2312" w:hAnsi="仿宋" w:eastAsia="仿宋_GB2312"/>
          <w:sz w:val="32"/>
          <w:szCs w:val="32"/>
        </w:rPr>
        <w:t>14个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管执法服务岗，突出早、中、晚出行高峰时段和节假日、“三考”等重要时期，“五+二”“白+黑”，定点“打卡”定时“上线”。同时，根据街道的工作安排，主动投入到市容环境整治和周末大扫除中，为环境卫生“三大行动”和市容秩序“四大整治”提供了强有力的执法保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三是强势督导推进。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坚持问题导向，大队领导责任上肩、牵头抓总，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每人联点一个街道、认领一条重点路段，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每周组织1次社区“拉练”，每半月组织1次交叉督查，同时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结合区级城管数字化平台、网信平台、市民热线，最大限度拓宽问题发现渠道，建立问题清单，逐个对账销号。6月份，对照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市城管委验收标准，集中力量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对全区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14个重点区域、13条重点路段进行全面细致的考核验收，2条示范路（银盆路、湘江大道）、3个示范片区（省政协、广电中心、三馆一厅周边）全部达到市级标准，湘雅医院周边环境让人眼前一亮、耳目一新。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（3）注重源头治理，强力保卫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蓝天碧水。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巩固深化“蓝天保卫战”三年（2017-2020）工作成效，对照“蓝天保卫战”新三年（2021-2023）工作要求，以迎接中央环保督察“回头看”为契机，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掐准污染问题的“七寸”，卡紧污染问题的“源头”。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>一是强力控“尘”。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</w:rPr>
        <w:t>按照“源头控、路上查、末端治”的思路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</w:rPr>
        <w:t>严把渣土出口关、卸载关、运输线路关、撒漏污染关，严厉打击车轮带泥、沿途撒漏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、随意倾倒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</w:rPr>
        <w:t>等违法行为，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全面摸排区内裸露黄土地块并建立台账，督促相关单位进行平整覆绿，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查处违规处置渣土案件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1373起、罚款2250276元。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>二是强力禁“烧”。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认真开展“清明”禁烧行动，加大露天焚烧垃圾、秸秆，露天烧烤、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燃放烟花爆竹、露天焚烧祭品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等行为的查处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</w:rPr>
        <w:t>力度，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协助街道、社区开展禁烧宣传，第一时间发现、第一时间处置，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查处露天焚烧案件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98起、罚款63200元。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>三是强力治“烟”。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采取日常巡查管控和在线预警响应相结合的方式，加大对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不按要求安装和使用油烟净化装置行为的查处，进一步优化油烟检测申报审批流程，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查处餐饮油烟、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露天烧烤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eastAsia="zh-CN"/>
        </w:rPr>
        <w:t>案件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100起、罚款124330元。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val="en-US" w:eastAsia="zh-CN" w:bidi="ar-SA"/>
        </w:rPr>
        <w:t>四是强力分“类”。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贯彻落实《长沙市城市生活垃圾管理条例》，与区垃圾分类办公室联动，针对湿垃圾收运量异常的企业、物业，主动介入调查，切实推进垃圾分类落地落细落实，共查处案件212起，罚款24440元。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（4）高擎发展火炬，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大力服务中心工作。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紧紧围绕全区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“高擎发展火炬，奋力迈向北强”发展主题，</w:t>
      </w:r>
      <w:r>
        <w:rPr>
          <w:rFonts w:hint="eastAsia" w:ascii="仿宋_GB2312" w:hAnsi="仿宋_GB2312" w:eastAsia="仿宋_GB2312" w:cs="仿宋_GB2312"/>
          <w:color w:val="auto"/>
          <w:sz w:val="32"/>
          <w:szCs w:val="44"/>
          <w:lang w:val="en-US" w:eastAsia="zh-CN"/>
        </w:rPr>
        <w:t>服务发展大局，优化营商环境，维护社会稳定。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一是最大力度推进征迁腾地。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执法人员常驻指挥部，先后配合紫荆补征地项目、工农苑项目、彭家巷路项目、沙河四期项目、星沙联络道辅道项目、白霞安置地项目、商飞项目、金霞产业聚集区-电子产业项目、恒昌医药总部基地二期项目、汤家湖保障性住房项目、德雅路提质改造项目、湘雅路过江隧道项目、幸福桥项目等重点项目开展违章调查109户；完成区政府交办裁执分离案件28起，组织强制执行行动33次，通过入户调查、违章鉴定等方式促进各项目签协议236户，四方坪丝矛冲一期，黄兴北路片区花鸟虫鱼项目、天祥日杂项目和火车北站片区神箭花苑项目全部清零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二是最高标准保障节会活动。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积极克服工作矛盾，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科学调配力量，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全力保障各类节会活动。省、市、区重大会议和节假日期间，驻街中队采取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“设岗驻点+步行巡查”的方式，加强景点、商圈、公园周边的执法巡查和文明劝导，高标准完成了“汽车消费节”执法保障任务，维护和展示了“精美长沙”“精美开福”的良好形象；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“三考”期间，严格落实“四定”要求，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考点周边进行不间断、无死角的巡查管控，为广大考生和家长营造了清净、安心、有序的市容环境；橘子洲焰火晚会，大队出动近200名执法干部，冒着恶劣天气高标准清理、维护湘江风光带（橘子洲大桥至银盆岭大桥段）、五一广场周边等市容环境，引导市民、游客有序进入观看位置，展示了城管执法队伍的良好形象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三是最实作风排查安全隐患。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坚持以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“安全隐患清零，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坚决遏制重特大事故发生”为目标，持续推进“强执法防事故”行动，将安全生产贯穿在日常执法工作中，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z w:val="32"/>
          <w:szCs w:val="32"/>
          <w:lang w:val="en-US" w:eastAsia="zh-CN"/>
        </w:rPr>
        <w:t>常态落实对区内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各仓储（厂房）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设施</w:t>
      </w:r>
      <w:r>
        <w:rPr>
          <w:rFonts w:hint="eastAsia" w:ascii="仿宋_GB2312" w:hAnsi="仿宋_GB2312" w:eastAsia="仿宋_GB2312" w:cs="仿宋_GB2312"/>
          <w:sz w:val="32"/>
          <w:szCs w:val="32"/>
        </w:rPr>
        <w:t>、大型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户外</w:t>
      </w:r>
      <w:r>
        <w:rPr>
          <w:rFonts w:hint="eastAsia" w:ascii="仿宋_GB2312" w:hAnsi="仿宋_GB2312" w:eastAsia="仿宋_GB2312" w:cs="仿宋_GB2312"/>
          <w:sz w:val="32"/>
          <w:szCs w:val="32"/>
        </w:rPr>
        <w:t>广告牌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电子显示屏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、桥梁隧道空间，以及燃气管道、燃气生产经营场所、燃气非法营运等易产生安全隐患部位的排查整治，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组织宣传教育207次，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拆除存在安全隐患的违章建筑222处、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违规户外广告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招牌225处，排查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供气站点75个，住宅小区120多个，大型综合体、餐饮、集贸市场等非居民用户900余户，整改安全隐患220处，责令停业整改的供气站1个、关停未备案的供气站1个，取缔“黑窝点”2处，立案查处30起，罚款59700元，暂扣气瓶142个，移交城管公安涉嫌私自倒灌液化气人员5名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四是最快速度处置群众诉求。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广泛开展“我为群众办实事”行动，用真情实意依法稳妥的处置群众诉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累计接收数字化城管案件80125条，12345电话派警7564件，12345平台工单533条，处置率均为100%；接访13批42人次，来信38件，均依法依规妥善处置。</w:t>
      </w:r>
    </w:p>
    <w:p>
      <w:pPr>
        <w:pStyle w:val="10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无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无</w:t>
      </w:r>
    </w:p>
    <w:p>
      <w:pPr>
        <w:numPr>
          <w:ilvl w:val="0"/>
          <w:numId w:val="3"/>
        </w:numPr>
        <w:spacing w:line="600" w:lineRule="exact"/>
        <w:ind w:left="0" w:leftChars="0"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绩效自评结果拟应用和公开情况</w:t>
      </w:r>
    </w:p>
    <w:p>
      <w:pPr>
        <w:pStyle w:val="9"/>
        <w:numPr>
          <w:ilvl w:val="0"/>
          <w:numId w:val="0"/>
        </w:numPr>
        <w:ind w:leftChars="200" w:firstLine="640" w:firstLineChars="200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本单位绩效评价预算后2023年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部门预算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略做调整：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“三车三场”专项整治经费调整为120万元、城管公安大队专项经费调整至16万元。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其他需要说明的情况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无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报告需要以下附件：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1、部门整体支出绩效评价基础数据表</w:t>
      </w:r>
      <w:r>
        <w:rPr>
          <w:rFonts w:hint="eastAsia" w:eastAsia="仿宋_GB2312"/>
          <w:sz w:val="32"/>
          <w:szCs w:val="32"/>
        </w:rPr>
        <w:t>（P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2、部门整体支出绩效自评表</w:t>
      </w:r>
      <w:r>
        <w:rPr>
          <w:rFonts w:hint="eastAsia" w:eastAsia="仿宋_GB2312"/>
          <w:sz w:val="32"/>
          <w:szCs w:val="32"/>
        </w:rPr>
        <w:t>（P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3、项目支出绩效自评表</w:t>
      </w:r>
      <w:r>
        <w:rPr>
          <w:rFonts w:hint="eastAsia" w:eastAsia="仿宋_GB2312"/>
          <w:sz w:val="32"/>
          <w:szCs w:val="32"/>
        </w:rPr>
        <w:t>（P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（每个一级项目支出一张表）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4、政府性基金预算支出情况表</w:t>
      </w:r>
      <w:r>
        <w:rPr>
          <w:rFonts w:hint="eastAsia" w:eastAsia="仿宋_GB2312"/>
          <w:sz w:val="32"/>
          <w:szCs w:val="32"/>
        </w:rPr>
        <w:t>（该表与当年部门预决算公开保持一致）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5、国有资本经营预算支出情况表</w:t>
      </w:r>
      <w:r>
        <w:rPr>
          <w:rFonts w:hint="eastAsia" w:eastAsia="仿宋_GB2312"/>
          <w:sz w:val="32"/>
          <w:szCs w:val="32"/>
        </w:rPr>
        <w:t>（该表与当年部门预决算公开保持一致）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6、社会保险基金预算支出情况表</w:t>
      </w:r>
      <w:r>
        <w:rPr>
          <w:rFonts w:hint="eastAsia" w:eastAsia="仿宋_GB2312"/>
          <w:sz w:val="32"/>
          <w:szCs w:val="32"/>
        </w:rPr>
        <w:t>（该表与当年部门预决算公开保持一致）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widowControl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hint="eastAsia" w:eastAsia="方正小标宋_GBK"/>
          <w:kern w:val="0"/>
          <w:sz w:val="28"/>
          <w:szCs w:val="28"/>
          <w:lang w:eastAsia="zh-CN"/>
        </w:rPr>
      </w:pPr>
      <w:r>
        <w:rPr>
          <w:rFonts w:hint="eastAsia" w:eastAsia="方正小标宋_GBK"/>
          <w:kern w:val="0"/>
          <w:sz w:val="36"/>
          <w:szCs w:val="36"/>
          <w:lang w:val="en-US" w:eastAsia="zh-CN"/>
        </w:rPr>
        <w:t>2022年度</w:t>
      </w:r>
      <w:r>
        <w:rPr>
          <w:rFonts w:eastAsia="方正小标宋_GBK"/>
          <w:kern w:val="0"/>
          <w:sz w:val="36"/>
          <w:szCs w:val="36"/>
        </w:rPr>
        <w:t>部门整体支出绩效评价基础数据表</w:t>
      </w:r>
      <w:r>
        <w:rPr>
          <w:rFonts w:hint="eastAsia" w:eastAsia="方正小标宋_GBK"/>
          <w:kern w:val="0"/>
          <w:sz w:val="28"/>
          <w:szCs w:val="28"/>
          <w:lang w:eastAsia="zh-CN"/>
        </w:rPr>
        <w:t>（城管大队）</w:t>
      </w:r>
    </w:p>
    <w:tbl>
      <w:tblPr>
        <w:tblStyle w:val="7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992"/>
        <w:gridCol w:w="992"/>
        <w:gridCol w:w="1134"/>
        <w:gridCol w:w="992"/>
        <w:gridCol w:w="99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财政供养人员情况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控制率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经费控制情况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1、公务用车购置和维护经费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其中：公车购置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公车运行维护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2、出国经费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3、公务接待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项目支出：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 w:val="32"/>
                <w:szCs w:val="32"/>
              </w:rPr>
              <w:t>870.56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762.72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404.71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2、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专项</w:t>
            </w:r>
            <w:r>
              <w:rPr>
                <w:rFonts w:eastAsia="仿宋_GB2312"/>
                <w:kern w:val="0"/>
                <w:sz w:val="21"/>
                <w:szCs w:val="21"/>
              </w:rPr>
              <w:t>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 w:val="32"/>
                <w:szCs w:val="32"/>
              </w:rPr>
              <w:t>870.56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692.65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404.71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区城管特勤队经费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 w:val="32"/>
                <w:szCs w:val="32"/>
              </w:rPr>
              <w:t>293.82</w:t>
            </w:r>
            <w:r>
              <w:rPr>
                <w:rFonts w:hint="eastAsia" w:ascii="仿宋_GB2312"/>
                <w:kern w:val="0"/>
                <w:sz w:val="18"/>
                <w:szCs w:val="32"/>
              </w:rPr>
              <w:t>（不含直接调拨给机关事务中心的租车费用83万，未计入决算）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397.1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228.12</w:t>
            </w:r>
            <w:r>
              <w:rPr>
                <w:rFonts w:hint="eastAsia"/>
                <w:kern w:val="0"/>
                <w:sz w:val="21"/>
                <w:szCs w:val="16"/>
                <w:lang w:val="en-US" w:eastAsia="zh-CN"/>
              </w:rPr>
              <w:t>（部分资金经财政调拨支付，因此未计入我单位决算）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城管执法专项</w:t>
            </w: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32"/>
                <w:szCs w:val="32"/>
              </w:rPr>
              <w:t>305.77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105.5</w:t>
            </w:r>
            <w:bookmarkStart w:id="1" w:name="_GoBack"/>
            <w:bookmarkEnd w:id="1"/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“三车三场”专项整治经费</w:t>
            </w: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153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18"/>
                <w:lang w:val="en-US" w:eastAsia="zh-CN"/>
              </w:rPr>
              <w:t>38.32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left"/>
              <w:textAlignment w:val="auto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城管公安大队专项经费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32"/>
                <w:szCs w:val="32"/>
              </w:rPr>
              <w:t>39.57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37.5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 w:val="22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18"/>
                <w:lang w:val="en-US" w:eastAsia="zh-CN"/>
              </w:rPr>
              <w:t>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200"/>
              <w:jc w:val="both"/>
              <w:textAlignment w:val="auto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其他类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32"/>
                <w:szCs w:val="32"/>
              </w:rPr>
              <w:t>231.4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79.83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公用经费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909.29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其中：办公费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112.18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304.06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水费、电费、差旅费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会议费、培训费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——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157.52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139.74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部门基本支出预算调整 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——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楼堂馆所控制情况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（20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批复规模（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规模控制率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投资概算控制率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计算公式=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实际规模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/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批复规模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×100%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计算公式=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实际投资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/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预算投资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4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3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  <w:r>
        <w:rPr>
          <w:rFonts w:eastAsia="仿宋_GB2312"/>
          <w:kern w:val="0"/>
          <w:sz w:val="2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7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367"/>
        <w:gridCol w:w="982"/>
        <w:gridCol w:w="1120"/>
        <w:gridCol w:w="300"/>
        <w:gridCol w:w="1004"/>
        <w:gridCol w:w="1004"/>
        <w:gridCol w:w="680"/>
        <w:gridCol w:w="1603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区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级预算部门名称</w:t>
            </w:r>
          </w:p>
        </w:tc>
        <w:tc>
          <w:tcPr>
            <w:tcW w:w="926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城管执法大队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算申请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349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预算数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全年预算数</w:t>
            </w:r>
            <w:r>
              <w:rPr>
                <w:rFonts w:hint="eastAsia" w:eastAsia="仿宋_GB2312"/>
                <w:sz w:val="21"/>
                <w:szCs w:val="21"/>
              </w:rPr>
              <w:t>（含当年预算调整数）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9203.54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9570.53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9570.53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 xml:space="preserve">  其中：  一般公共预算：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9570.53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9166.05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840" w:firstLineChars="4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政府性基金拨款：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404.47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470" w:firstLineChars="7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注：以“定量”目标为主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注：以“定量”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完成情况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梳理责任清单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500条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677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条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规范桥下空间管理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拆除与桥梁设施无关的各类建（构）筑物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30处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52处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前完成计划工作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12月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12月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合规资金支出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紧抓精致管理，提升城市管理水平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有效提升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有效提升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群众满意度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43C55"/>
    <w:multiLevelType w:val="singleLevel"/>
    <w:tmpl w:val="DC943C5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D994D60"/>
    <w:multiLevelType w:val="singleLevel"/>
    <w:tmpl w:val="3D994D6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084357"/>
    <w:multiLevelType w:val="singleLevel"/>
    <w:tmpl w:val="5A084357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Y2I0Yzk1ZWE5ZWI2MTlkNzYzNDJlMmMzOGFiNDAifQ=="/>
  </w:docVars>
  <w:rsids>
    <w:rsidRoot w:val="008E78CB"/>
    <w:rsid w:val="002D40C4"/>
    <w:rsid w:val="006479FB"/>
    <w:rsid w:val="008E78CB"/>
    <w:rsid w:val="0328464B"/>
    <w:rsid w:val="04D614E6"/>
    <w:rsid w:val="05B163AF"/>
    <w:rsid w:val="066E3443"/>
    <w:rsid w:val="06D322B3"/>
    <w:rsid w:val="08820A5C"/>
    <w:rsid w:val="08D02EBC"/>
    <w:rsid w:val="09B71520"/>
    <w:rsid w:val="0ACD752C"/>
    <w:rsid w:val="0C0C4FB5"/>
    <w:rsid w:val="0C8F3D96"/>
    <w:rsid w:val="0CD03AA4"/>
    <w:rsid w:val="0D253D87"/>
    <w:rsid w:val="0D7731A8"/>
    <w:rsid w:val="0F713FA3"/>
    <w:rsid w:val="11E91A83"/>
    <w:rsid w:val="1406135C"/>
    <w:rsid w:val="1684192F"/>
    <w:rsid w:val="196768DB"/>
    <w:rsid w:val="1BC3580A"/>
    <w:rsid w:val="1FD42590"/>
    <w:rsid w:val="247E72BC"/>
    <w:rsid w:val="2A0316E4"/>
    <w:rsid w:val="2C564223"/>
    <w:rsid w:val="2F705FB8"/>
    <w:rsid w:val="314C0A75"/>
    <w:rsid w:val="325C46BF"/>
    <w:rsid w:val="384E1641"/>
    <w:rsid w:val="39733FDC"/>
    <w:rsid w:val="3B9C17FC"/>
    <w:rsid w:val="3C9B3859"/>
    <w:rsid w:val="3F754E50"/>
    <w:rsid w:val="403763A2"/>
    <w:rsid w:val="44BB608F"/>
    <w:rsid w:val="45B21329"/>
    <w:rsid w:val="4ACC4FA9"/>
    <w:rsid w:val="4AF86ABF"/>
    <w:rsid w:val="4B67576D"/>
    <w:rsid w:val="4D2D3ACA"/>
    <w:rsid w:val="566F6440"/>
    <w:rsid w:val="5A1C0179"/>
    <w:rsid w:val="5B1F2B8E"/>
    <w:rsid w:val="5FFB3A46"/>
    <w:rsid w:val="60EE4B44"/>
    <w:rsid w:val="62581DB0"/>
    <w:rsid w:val="68080C60"/>
    <w:rsid w:val="68391905"/>
    <w:rsid w:val="68D71D85"/>
    <w:rsid w:val="6C187180"/>
    <w:rsid w:val="6D2E6E62"/>
    <w:rsid w:val="6D9B0669"/>
    <w:rsid w:val="7309711B"/>
    <w:rsid w:val="74563F68"/>
    <w:rsid w:val="76F02983"/>
    <w:rsid w:val="7A6C04E0"/>
    <w:rsid w:val="7A7C0656"/>
    <w:rsid w:val="7B7955F9"/>
    <w:rsid w:val="7FC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ody Text First Indent"/>
    <w:basedOn w:val="2"/>
    <w:unhideWhenUsed/>
    <w:qFormat/>
    <w:uiPriority w:val="99"/>
    <w:pPr>
      <w:spacing w:beforeLines="0" w:afterLines="0"/>
      <w:ind w:firstLine="664"/>
    </w:pPr>
    <w:rPr>
      <w:rFonts w:hint="eastAsia"/>
      <w:sz w:val="24"/>
      <w:szCs w:val="24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BodyText"/>
    <w:basedOn w:val="1"/>
    <w:qFormat/>
    <w:uiPriority w:val="0"/>
    <w:pPr>
      <w:widowControl/>
      <w:snapToGrid w:val="0"/>
      <w:spacing w:after="120"/>
    </w:p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5637</Words>
  <Characters>6076</Characters>
  <Lines>19</Lines>
  <Paragraphs>5</Paragraphs>
  <TotalTime>3</TotalTime>
  <ScaleCrop>false</ScaleCrop>
  <LinksUpToDate>false</LinksUpToDate>
  <CharactersWithSpaces>6158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2021-01-27T03:18:00Z</dcterms:created>
  <dc:creator>Administrator</dc:creator>
  <cp:lastModifiedBy>unicorn</cp:lastModifiedBy>
  <cp:lastPrinted>2023-06-12T02:07:10Z</cp:lastPrinted>
  <dcterms:modified xsi:type="dcterms:W3CDTF">2023-06-12T02:07:13Z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FECDBF012B22455BBCD55C8606B83B58</vt:lpwstr>
  </property>
</Properties>
</file>