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仿宋" w:hAnsi="仿宋" w:eastAsia="仿宋" w:cs="仿宋"/>
          <w:color w:val="000000" w:themeColor="text1"/>
          <w:sz w:val="48"/>
          <w:szCs w:val="48"/>
          <w14:textFill>
            <w14:solidFill>
              <w14:schemeClr w14:val="tx1"/>
            </w14:solidFill>
          </w14:textFill>
        </w:rPr>
      </w:pPr>
      <w:r>
        <w:rPr>
          <w:rFonts w:ascii="仿宋" w:hAnsi="仿宋" w:eastAsia="仿宋" w:cs="仿宋"/>
          <w:color w:val="000000" w:themeColor="text1"/>
          <w:sz w:val="48"/>
          <w:szCs w:val="48"/>
          <w14:textFill>
            <w14:solidFill>
              <w14:schemeClr w14:val="tx1"/>
            </w14:solidFill>
          </w14:textFill>
        </w:rPr>
        <w:t>2021年长沙市</w:t>
      </w:r>
      <w:r>
        <w:rPr>
          <w:rFonts w:hint="default" w:ascii="仿宋" w:hAnsi="仿宋" w:eastAsia="仿宋" w:cs="仿宋"/>
          <w:color w:val="000000" w:themeColor="text1"/>
          <w:sz w:val="48"/>
          <w:szCs w:val="48"/>
          <w14:textFill>
            <w14:solidFill>
              <w14:schemeClr w14:val="tx1"/>
            </w14:solidFill>
          </w14:textFill>
        </w:rPr>
        <w:t>开福区城市管理综合执法大队</w:t>
      </w:r>
      <w:r>
        <w:rPr>
          <w:rFonts w:ascii="仿宋" w:hAnsi="仿宋" w:eastAsia="仿宋" w:cs="仿宋"/>
          <w:color w:val="000000" w:themeColor="text1"/>
          <w:sz w:val="48"/>
          <w:szCs w:val="48"/>
          <w14:textFill>
            <w14:solidFill>
              <w14:schemeClr w14:val="tx1"/>
            </w14:solidFill>
          </w14:textFill>
        </w:rPr>
        <w:t>部门</w:t>
      </w:r>
      <w:r>
        <w:rPr>
          <w:rFonts w:hint="default" w:ascii="仿宋" w:hAnsi="仿宋" w:eastAsia="仿宋" w:cs="仿宋"/>
          <w:color w:val="000000" w:themeColor="text1"/>
          <w:sz w:val="48"/>
          <w:szCs w:val="48"/>
          <w14:textFill>
            <w14:solidFill>
              <w14:schemeClr w14:val="tx1"/>
            </w14:solidFill>
          </w14:textFill>
        </w:rPr>
        <w:t>预算</w:t>
      </w:r>
    </w:p>
    <w:p>
      <w:pPr>
        <w:keepNext w:val="0"/>
        <w:keepLines w:val="0"/>
        <w:pageBreakBefore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3040" w:firstLineChars="1900"/>
        <w:textAlignment w:val="auto"/>
        <w:rPr>
          <w:rFonts w:eastAsia="黑体"/>
          <w:bCs/>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r>
        <w:rPr>
          <w:rFonts w:eastAsia="黑体"/>
          <w:bCs/>
          <w:color w:val="000000" w:themeColor="text1"/>
          <w:kern w:val="0"/>
          <w:sz w:val="32"/>
          <w:szCs w:val="32"/>
          <w14:textFill>
            <w14:solidFill>
              <w14:schemeClr w14:val="tx1"/>
            </w14:solidFill>
          </w14:textFill>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000000" w:themeColor="text1"/>
          <w:kern w:val="0"/>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jc w:val="both"/>
        <w:textAlignment w:val="auto"/>
        <w:rPr>
          <w:rFonts w:ascii="仿宋" w:hAnsi="仿宋" w:eastAsia="仿宋" w:cs="仿宋"/>
          <w:color w:val="000000" w:themeColor="text1"/>
          <w:sz w:val="16"/>
          <w:szCs w:val="1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color w:val="000000" w:themeColor="text1"/>
          <w:kern w:val="0"/>
          <w:sz w:val="44"/>
          <w:szCs w:val="44"/>
          <w14:textFill>
            <w14:solidFill>
              <w14:schemeClr w14:val="tx1"/>
            </w14:solidFill>
          </w14:textFill>
        </w:rPr>
      </w:pPr>
      <w:r>
        <w:rPr>
          <w:rFonts w:hint="eastAsia" w:ascii="仿宋" w:hAnsi="仿宋" w:eastAsia="仿宋" w:cs="仿宋"/>
          <w:color w:val="000000" w:themeColor="text1"/>
          <w:sz w:val="16"/>
          <w:szCs w:val="16"/>
          <w14:textFill>
            <w14:solidFill>
              <w14:schemeClr w14:val="tx1"/>
            </w14:solidFill>
          </w14:textFill>
        </w:rPr>
        <w:t>  </w:t>
      </w:r>
      <w:r>
        <w:rPr>
          <w:rFonts w:hint="eastAsia" w:ascii="黑体" w:hAnsi="黑体" w:eastAsia="黑体" w:cs="黑体"/>
          <w:b/>
          <w:color w:val="000000" w:themeColor="text1"/>
          <w:kern w:val="0"/>
          <w:sz w:val="44"/>
          <w:szCs w:val="44"/>
          <w14:textFill>
            <w14:solidFill>
              <w14:schemeClr w14:val="tx1"/>
            </w14:solidFill>
          </w14:textFill>
        </w:rPr>
        <w:t>第一部分 2021年部门预算说明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jc w:val="both"/>
        <w:textAlignment w:val="auto"/>
        <w:rPr>
          <w:rFonts w:eastAsia="方正小标宋_GBK" w:cstheme="minorBidi"/>
          <w:bCs/>
          <w:color w:val="000000" w:themeColor="text1"/>
          <w:sz w:val="36"/>
          <w:szCs w:val="36"/>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(1)行使城乡规划管理方面法律、法规、规章规定的部分行政处罚权；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(2)行使市容环境卫生管理方面法律、法规、规章规定的行政处罚权；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(3)行使城市园林绿化管理方面法律、法规、规章规定的行政处罚权；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(4)行使环境保护管理方面法律、法规、规章规定的部分行政处罚权：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(5)行使工商行政管理方面法律、法规、规章规定的对无照商贩的行政处罚权；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(6)行使公安交通管理方面法律、法规、规章规定的部分行政处罚权；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(7)行使市政管理方面法律、法规、规章规定的行政处罚权；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(8)行使土地管理方面法律、法规、规章规定的违法占用集体土地修建建筑物和设施的行政处罚权；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(9)行使户外广告设置管理方面法律、法规、规章规定的行政处罚权；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(10)履行法律、法规、规章或者省、市人民政府规定的其他职责；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bookmarkStart w:id="0" w:name="_GoBack"/>
      <w:bookmarkEnd w:id="0"/>
      <w:r>
        <w:rPr>
          <w:rFonts w:hint="eastAsia" w:ascii="仿宋" w:hAnsi="仿宋" w:eastAsia="仿宋" w:cs="仿宋"/>
          <w:color w:val="000000" w:themeColor="text1"/>
          <w:sz w:val="32"/>
          <w:szCs w:val="32"/>
          <w14:textFill>
            <w14:solidFill>
              <w14:schemeClr w14:val="tx1"/>
            </w14:solidFill>
          </w14:textFill>
        </w:rPr>
        <w:t>(11)完成区委、区政府交办的相关工作。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000000" w:themeColor="text1"/>
          <w:sz w:val="32"/>
          <w:szCs w:val="32"/>
          <w:highlight w:val="yellow"/>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本部门由1个参公管理事业单位构成。</w:t>
      </w:r>
      <w:r>
        <w:rPr>
          <w:rFonts w:hint="eastAsia" w:ascii="仿宋" w:hAnsi="仿宋" w:eastAsia="仿宋" w:cs="仿宋"/>
          <w:color w:val="000000" w:themeColor="text1"/>
          <w:sz w:val="32"/>
          <w:szCs w:val="32"/>
          <w:lang w:val="en-US" w:eastAsia="zh-CN"/>
          <w14:textFill>
            <w14:solidFill>
              <w14:schemeClr w14:val="tx1"/>
            </w14:solidFill>
          </w14:textFill>
        </w:rPr>
        <w:t>内设机构4个：分别为</w:t>
      </w:r>
      <w:r>
        <w:rPr>
          <w:rFonts w:hint="eastAsia" w:ascii="仿宋" w:hAnsi="仿宋" w:eastAsia="仿宋" w:cs="仿宋"/>
          <w:color w:val="000000" w:themeColor="text1"/>
          <w:sz w:val="32"/>
          <w:szCs w:val="32"/>
          <w14:textFill>
            <w14:solidFill>
              <w14:schemeClr w14:val="tx1"/>
            </w14:solidFill>
          </w14:textFill>
        </w:rPr>
        <w:t>办公室（副科级）、法制科（副科级）、政工科、督查中队</w:t>
      </w:r>
      <w:r>
        <w:rPr>
          <w:rFonts w:hint="eastAsia" w:ascii="仿宋" w:hAnsi="仿宋" w:eastAsia="仿宋" w:cs="仿宋"/>
          <w:color w:val="000000" w:themeColor="text1"/>
          <w:sz w:val="32"/>
          <w:szCs w:val="32"/>
          <w:lang w:eastAsia="zh-CN"/>
          <w14:textFill>
            <w14:solidFill>
              <w14:schemeClr w14:val="tx1"/>
            </w14:solidFill>
          </w14:textFill>
        </w:rPr>
        <w:t>，另有大队所属中队设置：</w:t>
      </w:r>
      <w:r>
        <w:rPr>
          <w:rFonts w:hint="eastAsia" w:ascii="仿宋" w:hAnsi="仿宋" w:eastAsia="仿宋" w:cs="仿宋"/>
          <w:color w:val="000000" w:themeColor="text1"/>
          <w:sz w:val="32"/>
          <w:szCs w:val="32"/>
          <w14:textFill>
            <w14:solidFill>
              <w14:schemeClr w14:val="tx1"/>
            </w14:solidFill>
          </w14:textFill>
        </w:rPr>
        <w:t>16个驻街道执法中队，6个直管专业执法中队（渣土、广告亮化、餐厨、园林、市政、拆控违中队）</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长沙市开福区城市管理综合执法大队只有本级，没有其他二级预算单位，因此纳入2021年部门预算编制范围的只有本单位部门本级。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部门预算包括本级预算和所属单位预算在内的汇总情况。本单位收入只有一般公共预算收入；支出既包括保障本单位基本运行的经费，也包括本单位归口管理的“执法专项”、“城管公安大队专项经费”、“区城管特勤队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（一）收入预算：</w:t>
      </w:r>
      <w:r>
        <w:rPr>
          <w:rFonts w:hint="eastAsia" w:ascii="仿宋" w:hAnsi="仿宋" w:eastAsia="仿宋" w:cs="仿宋"/>
          <w:bCs/>
          <w:color w:val="000000" w:themeColor="text1"/>
          <w:sz w:val="32"/>
          <w:szCs w:val="32"/>
          <w14:textFill>
            <w14:solidFill>
              <w14:schemeClr w14:val="tx1"/>
            </w14:solidFill>
          </w14:textFill>
        </w:rPr>
        <w:t>2021年</w:t>
      </w:r>
      <w:r>
        <w:rPr>
          <w:rFonts w:hint="eastAsia" w:ascii="仿宋" w:hAnsi="仿宋" w:eastAsia="仿宋" w:cs="仿宋"/>
          <w:bCs/>
          <w:color w:val="000000" w:themeColor="text1"/>
          <w:sz w:val="32"/>
          <w:szCs w:val="32"/>
          <w:lang w:eastAsia="zh-CN"/>
          <w14:textFill>
            <w14:solidFill>
              <w14:schemeClr w14:val="tx1"/>
            </w14:solidFill>
          </w14:textFill>
        </w:rPr>
        <w:t>本部门</w:t>
      </w:r>
      <w:r>
        <w:rPr>
          <w:rFonts w:hint="eastAsia" w:ascii="仿宋" w:hAnsi="仿宋" w:eastAsia="仿宋" w:cs="仿宋"/>
          <w:bCs/>
          <w:color w:val="000000" w:themeColor="text1"/>
          <w:sz w:val="32"/>
          <w:szCs w:val="32"/>
          <w14:textFill>
            <w14:solidFill>
              <w14:schemeClr w14:val="tx1"/>
            </w14:solidFill>
          </w14:textFill>
        </w:rPr>
        <w:t>预算数9646.60万元，其中，一般公共预算拨款9646.60万元，政府性基金预算拨款</w:t>
      </w:r>
      <w:r>
        <w:rPr>
          <w:rFonts w:hint="eastAsia" w:ascii="仿宋" w:hAnsi="仿宋" w:eastAsia="仿宋" w:cs="仿宋"/>
          <w:color w:val="000000" w:themeColor="text1"/>
          <w:sz w:val="32"/>
          <w:szCs w:val="32"/>
          <w14:textFill>
            <w14:solidFill>
              <w14:schemeClr w14:val="tx1"/>
            </w14:solidFill>
          </w14:textFill>
        </w:rPr>
        <w:t>0万元，国有资本经营预算拨款0万元，纳入专户管理的非税收入0万元。收入较去年增加789.19万元，上升8.91%,主要原因是：1、2021年相比2020年初特勤队新增20人，相应的人员经费和工作经费增加；2、退休人员支出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（二）支出预算：</w:t>
      </w:r>
      <w:r>
        <w:rPr>
          <w:rFonts w:hint="eastAsia" w:ascii="仿宋" w:hAnsi="仿宋" w:eastAsia="仿宋" w:cs="仿宋"/>
          <w:color w:val="000000" w:themeColor="text1"/>
          <w:sz w:val="32"/>
          <w:szCs w:val="32"/>
          <w14:textFill>
            <w14:solidFill>
              <w14:schemeClr w14:val="tx1"/>
            </w14:solidFill>
          </w14:textFill>
        </w:rPr>
        <w:t>2021年支出预算数9646.60万元，其中: 社会保障和就业支出702.1万元，城乡社区支出8403.28万元，住房保障支出541.23万元。本年支出预算数比上年预算增加789.19万元，增长8.91%。支出增加的主要原因是：1、2021年相比2020年初特勤队新增20人，相应的人员经费和工作经费增加；2、退休人员支出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四、一般公共预算拨款支出预算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2021年一般公共预算拨款收入9646.60万元，其中，社会保障和就业支出702.1万元，占7.28%</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城乡社区支出8403.28万元，占87.11%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住房保障支出541.23万元，占5.61%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（一）基本支出：</w:t>
      </w:r>
      <w:r>
        <w:rPr>
          <w:rFonts w:hint="eastAsia" w:ascii="仿宋" w:hAnsi="仿宋" w:eastAsia="仿宋" w:cs="仿宋"/>
          <w:color w:val="000000" w:themeColor="text1"/>
          <w:sz w:val="32"/>
          <w:szCs w:val="32"/>
          <w14:textFill>
            <w14:solidFill>
              <w14:schemeClr w14:val="tx1"/>
            </w14:solidFill>
          </w14:textFill>
        </w:rPr>
        <w:t>2021年预算数为8,848.70万元，是指为保障单位机构正常运转、完成日常工作任务而发生的各项支出，包括用于基本工资、津贴补贴等人员经费和办公费、印刷费、办公设备购置等日常公用经费，以及临聘的200名区城管特勤队员（含20名城管公安特勤队员）的工资福利开支。</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（二）项目支出：</w:t>
      </w:r>
      <w:r>
        <w:rPr>
          <w:rFonts w:hint="eastAsia" w:ascii="仿宋" w:hAnsi="仿宋" w:eastAsia="仿宋" w:cs="仿宋"/>
          <w:color w:val="000000" w:themeColor="text1"/>
          <w:sz w:val="32"/>
          <w:szCs w:val="32"/>
          <w:lang w:val="en-US" w:eastAsia="zh-CN"/>
          <w14:textFill>
            <w14:solidFill>
              <w14:schemeClr w14:val="tx1"/>
            </w14:solidFill>
          </w14:textFill>
        </w:rPr>
        <w:t>2021年预算数为797.9万元，是指单位为完成特定行政工作任务或事业发展目标而发生的支出，其中：1、城管执法专项经费340.00万元，主要用于拆违拆广告，餐厨整治，维稳、市容及渣土整治等专项执法行动支出，其中包含了区“三车三场”专项经费170万元，主要用于区“三车三场”整治办工作人员的人员及日常工作等费用；2、区城管特勤队专项经费418.00万元，主要用于区城管特勤队公用经费开支（包括队员的培训、办公场地的租赁，特勤队食堂开支及其他办公开支等）；3、城管公安大队工作经费39.90万元，主要用于城管公安大队日常工作开支；</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五、政府性基金预算支出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本部门无政府性基金安排的支出。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六、其他重要事项的情况说明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（一）机关运行经费：</w:t>
      </w:r>
      <w:r>
        <w:rPr>
          <w:rFonts w:hint="eastAsia" w:ascii="仿宋" w:hAnsi="仿宋" w:eastAsia="仿宋" w:cs="仿宋"/>
          <w:bCs/>
          <w:color w:val="000000" w:themeColor="text1"/>
          <w:sz w:val="32"/>
          <w:szCs w:val="32"/>
          <w14:textFill>
            <w14:solidFill>
              <w14:schemeClr w14:val="tx1"/>
            </w14:solidFill>
          </w14:textFill>
        </w:rPr>
        <w:t>2021年大队机关（参公管理事业单位）以及二级机构的机关运行经费财政拨款预算912.82万元，</w:t>
      </w:r>
      <w:r>
        <w:rPr>
          <w:rFonts w:hint="eastAsia" w:ascii="仿宋" w:hAnsi="仿宋" w:eastAsia="仿宋" w:cs="仿宋"/>
          <w:color w:val="000000" w:themeColor="text1"/>
          <w:sz w:val="32"/>
          <w:szCs w:val="32"/>
          <w14:textFill>
            <w14:solidFill>
              <w14:schemeClr w14:val="tx1"/>
            </w14:solidFill>
          </w14:textFill>
        </w:rPr>
        <w:t>比上年预算减少10.94万元，下降1.18%，</w:t>
      </w:r>
      <w:r>
        <w:rPr>
          <w:rFonts w:hint="eastAsia" w:ascii="仿宋" w:hAnsi="仿宋" w:eastAsia="仿宋" w:cs="仿宋"/>
          <w:bCs/>
          <w:color w:val="000000" w:themeColor="text1"/>
          <w:sz w:val="32"/>
          <w:szCs w:val="32"/>
          <w14:textFill>
            <w14:solidFill>
              <w14:schemeClr w14:val="tx1"/>
            </w14:solidFill>
          </w14:textFill>
        </w:rPr>
        <w:t>主要是</w:t>
      </w:r>
      <w:r>
        <w:rPr>
          <w:rFonts w:hint="eastAsia" w:ascii="仿宋" w:hAnsi="仿宋" w:eastAsia="仿宋" w:cs="仿宋"/>
          <w:bCs/>
          <w:color w:val="000000" w:themeColor="text1"/>
          <w:sz w:val="32"/>
          <w:szCs w:val="32"/>
          <w:lang w:eastAsia="zh-CN"/>
          <w14:textFill>
            <w14:solidFill>
              <w14:schemeClr w14:val="tx1"/>
            </w14:solidFill>
          </w14:textFill>
        </w:rPr>
        <w:t>办公经费减少</w:t>
      </w:r>
      <w:r>
        <w:rPr>
          <w:rFonts w:hint="eastAsia" w:ascii="仿宋" w:hAnsi="仿宋" w:eastAsia="仿宋" w:cs="仿宋"/>
          <w:bCs/>
          <w:color w:val="000000" w:themeColor="text1"/>
          <w:sz w:val="32"/>
          <w:szCs w:val="32"/>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hint="default"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（二）“三公”经费预算</w:t>
      </w:r>
      <w:r>
        <w:rPr>
          <w:rFonts w:hint="eastAsia" w:ascii="仿宋" w:hAnsi="仿宋" w:eastAsia="仿宋" w:cs="仿宋"/>
          <w:bCs/>
          <w:color w:val="000000" w:themeColor="text1"/>
          <w:sz w:val="32"/>
          <w:szCs w:val="32"/>
          <w14:textFill>
            <w14:solidFill>
              <w14:schemeClr w14:val="tx1"/>
            </w14:solidFill>
          </w14:textFill>
        </w:rPr>
        <w:t>：2021年“三公”经费预算数为1万元，其中，公务接待费1万元，公务用车购置及运行费0万元（其中，公务用车购置费0万元，公务用车运行费0万元），因公出国（境）费0万元。2021年“三公”经费预算较2020年未发生变化。</w:t>
      </w:r>
      <w:r>
        <w:rPr>
          <w:rFonts w:hint="eastAsia" w:ascii="仿宋" w:hAnsi="仿宋" w:eastAsia="仿宋" w:cs="仿宋"/>
          <w:bCs/>
          <w:color w:val="000000" w:themeColor="text1"/>
          <w:sz w:val="32"/>
          <w:szCs w:val="32"/>
          <w:lang w:val="en-US" w:eastAsia="zh-CN"/>
          <w14:textFill>
            <w14:solidFill>
              <w14:schemeClr w14:val="tx1"/>
            </w14:solidFill>
          </w14:textFill>
        </w:rPr>
        <w:t>主要原因是</w:t>
      </w:r>
      <w:r>
        <w:rPr>
          <w:rFonts w:hint="eastAsia" w:ascii="仿宋" w:hAnsi="仿宋" w:eastAsia="仿宋" w:cs="仿宋"/>
          <w:bCs/>
          <w:color w:val="000000" w:themeColor="text1"/>
          <w:sz w:val="32"/>
          <w:szCs w:val="32"/>
          <w14:textFill>
            <w14:solidFill>
              <w14:schemeClr w14:val="tx1"/>
            </w14:solidFill>
          </w14:textFill>
        </w:rPr>
        <w:t>公务接待费</w:t>
      </w:r>
      <w:r>
        <w:rPr>
          <w:rFonts w:hint="eastAsia" w:ascii="仿宋" w:hAnsi="仿宋" w:eastAsia="仿宋" w:cs="仿宋"/>
          <w:bCs/>
          <w:color w:val="000000" w:themeColor="text1"/>
          <w:sz w:val="32"/>
          <w:szCs w:val="32"/>
          <w:lang w:eastAsia="zh-CN"/>
          <w14:textFill>
            <w14:solidFill>
              <w14:schemeClr w14:val="tx1"/>
            </w14:solidFill>
          </w14:textFill>
        </w:rPr>
        <w:t>预算为</w:t>
      </w:r>
      <w:r>
        <w:rPr>
          <w:rFonts w:hint="eastAsia" w:ascii="仿宋" w:hAnsi="仿宋" w:eastAsia="仿宋" w:cs="仿宋"/>
          <w:bCs/>
          <w:color w:val="000000" w:themeColor="text1"/>
          <w:sz w:val="32"/>
          <w:szCs w:val="32"/>
          <w14:textFill>
            <w14:solidFill>
              <w14:schemeClr w14:val="tx1"/>
            </w14:solidFill>
          </w14:textFill>
        </w:rPr>
        <w:t>1万元</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kern w:val="0"/>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（三）一般性支出情况：2021</w:t>
      </w:r>
      <w:r>
        <w:rPr>
          <w:rFonts w:hint="eastAsia" w:ascii="仿宋" w:hAnsi="仿宋" w:eastAsia="仿宋" w:cs="仿宋"/>
          <w:color w:val="000000" w:themeColor="text1"/>
          <w:kern w:val="0"/>
          <w:sz w:val="32"/>
          <w:szCs w:val="32"/>
          <w:highlight w:val="none"/>
          <w:u w:val="none"/>
          <w14:textFill>
            <w14:solidFill>
              <w14:schemeClr w14:val="tx1"/>
            </w14:solidFill>
          </w14:textFill>
        </w:rPr>
        <w:t>年本部门会议费预算</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0</w:t>
      </w:r>
      <w:r>
        <w:rPr>
          <w:rFonts w:hint="eastAsia" w:ascii="仿宋" w:hAnsi="仿宋" w:eastAsia="仿宋" w:cs="仿宋"/>
          <w:color w:val="000000" w:themeColor="text1"/>
          <w:kern w:val="0"/>
          <w:sz w:val="32"/>
          <w:szCs w:val="32"/>
          <w:highlight w:val="none"/>
          <w:u w:val="none"/>
          <w14:textFill>
            <w14:solidFill>
              <w14:schemeClr w14:val="tx1"/>
            </w14:solidFill>
          </w14:textFill>
        </w:rPr>
        <w:t>万元；培训费预算</w:t>
      </w:r>
      <w:r>
        <w:rPr>
          <w:rFonts w:hint="eastAsia" w:ascii="仿宋" w:hAnsi="仿宋" w:eastAsia="仿宋" w:cs="仿宋"/>
          <w:bCs/>
          <w:color w:val="000000" w:themeColor="text1"/>
          <w:kern w:val="0"/>
          <w:sz w:val="32"/>
          <w:szCs w:val="32"/>
          <w:highlight w:val="none"/>
          <w:u w:val="none"/>
          <w:lang w:val="en-US" w:eastAsia="zh-CN" w:bidi="ar-SA"/>
          <w14:textFill>
            <w14:solidFill>
              <w14:schemeClr w14:val="tx1"/>
            </w14:solidFill>
          </w14:textFill>
        </w:rPr>
        <w:t>35万元，拟开展协管员综合素质培训，人数536人，内容为协管员综合素质；未举办节庆、晚会、论坛、赛事活动，经费预算0万元。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
          <w:bCs w:val="0"/>
          <w:color w:val="000000" w:themeColor="text1"/>
          <w:sz w:val="32"/>
          <w:szCs w:val="32"/>
          <w:lang w:val="en-US" w:eastAsia="zh-CN"/>
          <w14:textFill>
            <w14:solidFill>
              <w14:schemeClr w14:val="tx1"/>
            </w14:solidFill>
          </w14:textFill>
        </w:rPr>
        <w:t>（四）政府采购情况：</w:t>
      </w:r>
      <w:r>
        <w:rPr>
          <w:rFonts w:hint="eastAsia" w:ascii="仿宋" w:hAnsi="仿宋" w:eastAsia="仿宋" w:cs="仿宋"/>
          <w:bCs/>
          <w:color w:val="000000" w:themeColor="text1"/>
          <w:sz w:val="32"/>
          <w:szCs w:val="32"/>
          <w:lang w:val="en-US" w:eastAsia="zh-CN"/>
          <w14:textFill>
            <w14:solidFill>
              <w14:schemeClr w14:val="tx1"/>
            </w14:solidFill>
          </w14:textFill>
        </w:rPr>
        <w:t>2021年本单位政府采购预算总额312.01万元，其中：政府采购货物预算178.01万元、政府采购工程预算0万元、政府采购服务预算134万元。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（五）国有资产占用使用及新增资产配置情况：</w:t>
      </w:r>
      <w:r>
        <w:rPr>
          <w:rFonts w:hint="eastAsia" w:ascii="仿宋" w:hAnsi="仿宋" w:eastAsia="仿宋" w:cs="仿宋"/>
          <w:bCs/>
          <w:color w:val="000000" w:themeColor="text1"/>
          <w:sz w:val="32"/>
          <w:szCs w:val="32"/>
          <w14:textFill>
            <w14:solidFill>
              <w14:schemeClr w14:val="tx1"/>
            </w14:solidFill>
          </w14:textFill>
        </w:rPr>
        <w:t>截至2020年12月31日，本部门共有车辆3辆，其中，领导干部用车0辆、一般公务用车0辆、一般执法执勤用车2辆、特种专业技术用车1辆（清障车）、其他用车0辆。单位价值50万元以上通用设备0台（套），单价100万元以上专用设备0台（套）。2021年拟新增配置公务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辆，其中，机要通信用车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辆，应急保障用车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辆，执法执勤用车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辆，特种专业技术用车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辆，其他按照规定配备的公务用车</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辆；新增配备单位价值50万元以上通用设备</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台，单位价值100万元以上专用设备</w:t>
      </w:r>
      <w:r>
        <w:rPr>
          <w:rFonts w:hint="eastAsia" w:ascii="仿宋" w:hAnsi="仿宋" w:eastAsia="仿宋" w:cs="仿宋"/>
          <w:bCs/>
          <w:color w:val="000000" w:themeColor="text1"/>
          <w:sz w:val="32"/>
          <w:szCs w:val="32"/>
          <w:lang w:val="en-US" w:eastAsia="zh-CN"/>
          <w14:textFill>
            <w14:solidFill>
              <w14:schemeClr w14:val="tx1"/>
            </w14:solidFill>
          </w14:textFill>
        </w:rPr>
        <w:t>0</w:t>
      </w:r>
      <w:r>
        <w:rPr>
          <w:rFonts w:hint="eastAsia" w:ascii="仿宋" w:hAnsi="仿宋" w:eastAsia="仿宋" w:cs="仿宋"/>
          <w:bCs/>
          <w:color w:val="000000" w:themeColor="text1"/>
          <w:sz w:val="32"/>
          <w:szCs w:val="32"/>
          <w14:textFill>
            <w14:solidFill>
              <w14:schemeClr w14:val="tx1"/>
            </w14:solidFill>
          </w14:textFill>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（六）预算绩效目标说明</w:t>
      </w:r>
      <w:r>
        <w:rPr>
          <w:rFonts w:hint="eastAsia" w:ascii="仿宋" w:hAnsi="仿宋" w:eastAsia="仿宋" w:cs="仿宋"/>
          <w:bCs/>
          <w:color w:val="000000" w:themeColor="text1"/>
          <w:sz w:val="32"/>
          <w:szCs w:val="32"/>
          <w14:textFill>
            <w14:solidFill>
              <w14:schemeClr w14:val="tx1"/>
            </w14:solidFill>
          </w14:textFill>
        </w:rPr>
        <w:t>：2021年开福区城市管理综合执法大队整体支出绩效目标9646.60万元，其中：基本支出8,848.70万元，项目支出797.90万元。全部实行整体支出绩效目标管理，涉及一般公共预算当年拨款9646.60万元。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2021年开福区城市管理综合执法大队项目支出绩效目标797.90万元，其中：执法专项340.00万元，区城管特勤队经费418.00万元，城管公安工作经费39.90万元。全部实行项目支出绩效目标管理，涉及一般公共预算当年拨款797.90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（三）项目支出：指在基本支出之外为完成特定行政任务和事业发展目标所发生的支出。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仿宋" w:eastAsia="仿宋" w:cs="仿宋"/>
          <w:b/>
          <w:color w:val="000000" w:themeColor="text1"/>
          <w:kern w:val="0"/>
          <w:sz w:val="36"/>
          <w:szCs w:val="36"/>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第二部分 2021年部门预算表</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DRlNzc0Yjc2Yzk3ZTJiMzBjZDEzZTAwOTc3OWUifQ=="/>
  </w:docVars>
  <w:rsids>
    <w:rsidRoot w:val="1E932950"/>
    <w:rsid w:val="000A3902"/>
    <w:rsid w:val="002B26F9"/>
    <w:rsid w:val="003F19D9"/>
    <w:rsid w:val="004E7CFE"/>
    <w:rsid w:val="005E28F4"/>
    <w:rsid w:val="00A0724A"/>
    <w:rsid w:val="00A31A48"/>
    <w:rsid w:val="00A86CAC"/>
    <w:rsid w:val="00D961BC"/>
    <w:rsid w:val="00E258B4"/>
    <w:rsid w:val="00E71CFB"/>
    <w:rsid w:val="00F9525D"/>
    <w:rsid w:val="1548367B"/>
    <w:rsid w:val="1A070B74"/>
    <w:rsid w:val="1E932950"/>
    <w:rsid w:val="29196BAB"/>
    <w:rsid w:val="33E414A1"/>
    <w:rsid w:val="38C650D1"/>
    <w:rsid w:val="43495F50"/>
    <w:rsid w:val="458E7B31"/>
    <w:rsid w:val="45E44354"/>
    <w:rsid w:val="4A057A92"/>
    <w:rsid w:val="4AB64608"/>
    <w:rsid w:val="61D17D35"/>
    <w:rsid w:val="690D229D"/>
    <w:rsid w:val="6C6B7537"/>
    <w:rsid w:val="6EDC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2951</Words>
  <Characters>3264</Characters>
  <Lines>23</Lines>
  <Paragraphs>6</Paragraphs>
  <TotalTime>8</TotalTime>
  <ScaleCrop>false</ScaleCrop>
  <LinksUpToDate>false</LinksUpToDate>
  <CharactersWithSpaces>3290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2022-06-28T13:58:00Z</dcterms:created>
  <dc:creator>燕子</dc:creator>
  <cp:lastModifiedBy>unicorn</cp:lastModifiedBy>
  <dcterms:modified xsi:type="dcterms:W3CDTF">2022-08-23T03:03:08Z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3A7061592A4345589B00F1D3D28BC5B7</vt:lpwstr>
  </property>
</Properties>
</file>