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重点项目绩效自评报告</w:t>
      </w:r>
    </w:p>
    <w:p>
      <w:pPr>
        <w:spacing w:line="560" w:lineRule="exact"/>
        <w:outlineLvl w:val="0"/>
        <w:rPr>
          <w:rFonts w:eastAsia="黑体"/>
          <w:kern w:val="0"/>
          <w:sz w:val="32"/>
          <w:szCs w:val="32"/>
        </w:rPr>
      </w:pP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项目支出</w:t>
      </w:r>
      <w:r>
        <w:rPr>
          <w:rFonts w:eastAsia="黑体"/>
          <w:sz w:val="32"/>
          <w:szCs w:val="32"/>
        </w:rPr>
        <w:t>基本情况</w:t>
      </w:r>
    </w:p>
    <w:p>
      <w:pPr>
        <w:spacing w:line="560" w:lineRule="exact"/>
        <w:ind w:firstLine="640" w:firstLineChars="200"/>
        <w:rPr>
          <w:rFonts w:eastAsia="楷体_GB2312"/>
          <w:bCs/>
          <w:sz w:val="32"/>
          <w:szCs w:val="32"/>
        </w:rPr>
      </w:pPr>
      <w:r>
        <w:rPr>
          <w:rFonts w:eastAsia="楷体_GB2312"/>
          <w:bCs/>
          <w:sz w:val="32"/>
          <w:szCs w:val="32"/>
        </w:rPr>
        <w:t>（一）</w:t>
      </w:r>
      <w:r>
        <w:rPr>
          <w:rFonts w:hint="eastAsia" w:eastAsia="楷体_GB2312"/>
          <w:bCs/>
          <w:sz w:val="32"/>
          <w:szCs w:val="32"/>
        </w:rPr>
        <w:t>项目支出</w:t>
      </w:r>
      <w:r>
        <w:rPr>
          <w:rFonts w:eastAsia="楷体_GB2312"/>
          <w:bCs/>
          <w:sz w:val="32"/>
          <w:szCs w:val="32"/>
        </w:rPr>
        <w:t>资金概况</w:t>
      </w:r>
    </w:p>
    <w:p>
      <w:pPr>
        <w:spacing w:line="560" w:lineRule="exact"/>
        <w:ind w:firstLine="640" w:firstLineChars="200"/>
        <w:rPr>
          <w:sz w:val="32"/>
          <w:szCs w:val="32"/>
        </w:rPr>
      </w:pPr>
      <w:r>
        <w:rPr>
          <w:sz w:val="32"/>
          <w:szCs w:val="32"/>
        </w:rPr>
        <w:t>2021</w:t>
      </w:r>
      <w:r>
        <w:rPr>
          <w:rFonts w:hint="eastAsia"/>
          <w:sz w:val="32"/>
          <w:szCs w:val="32"/>
        </w:rPr>
        <w:t>年我局项目支出预算共</w:t>
      </w:r>
      <w:r>
        <w:rPr>
          <w:rFonts w:hint="eastAsia"/>
          <w:sz w:val="32"/>
          <w:szCs w:val="32"/>
          <w:u w:val="single"/>
        </w:rPr>
        <w:t xml:space="preserve">  7220.</w:t>
      </w:r>
      <w:bookmarkStart w:id="0" w:name="_GoBack"/>
      <w:bookmarkEnd w:id="0"/>
      <w:r>
        <w:rPr>
          <w:rFonts w:hint="eastAsia"/>
          <w:sz w:val="32"/>
          <w:szCs w:val="32"/>
          <w:u w:val="single"/>
        </w:rPr>
        <w:t xml:space="preserve">08 </w:t>
      </w:r>
      <w:r>
        <w:rPr>
          <w:rFonts w:hint="eastAsia"/>
          <w:sz w:val="32"/>
          <w:szCs w:val="32"/>
        </w:rPr>
        <w:t>万元，包含项目</w:t>
      </w:r>
      <w:r>
        <w:rPr>
          <w:rFonts w:hint="eastAsia"/>
          <w:sz w:val="32"/>
          <w:szCs w:val="32"/>
          <w:u w:val="single"/>
        </w:rPr>
        <w:t xml:space="preserve">  8</w:t>
      </w:r>
      <w:r>
        <w:rPr>
          <w:rFonts w:hint="eastAsia"/>
          <w:sz w:val="32"/>
          <w:szCs w:val="32"/>
        </w:rPr>
        <w:t>个，实际支出</w:t>
      </w:r>
      <w:r>
        <w:rPr>
          <w:rFonts w:hint="eastAsia"/>
          <w:sz w:val="32"/>
          <w:szCs w:val="32"/>
          <w:u w:val="single"/>
        </w:rPr>
        <w:t xml:space="preserve">  6957.66 </w:t>
      </w:r>
      <w:r>
        <w:rPr>
          <w:rFonts w:hint="eastAsia"/>
          <w:sz w:val="32"/>
          <w:szCs w:val="32"/>
        </w:rPr>
        <w:t>万元（业务工作经费</w:t>
      </w:r>
      <w:r>
        <w:rPr>
          <w:rFonts w:hint="eastAsia"/>
          <w:sz w:val="32"/>
          <w:szCs w:val="32"/>
          <w:u w:val="single"/>
        </w:rPr>
        <w:t xml:space="preserve">  105.05 </w:t>
      </w:r>
      <w:r>
        <w:rPr>
          <w:rFonts w:hint="eastAsia"/>
          <w:sz w:val="32"/>
          <w:szCs w:val="32"/>
        </w:rPr>
        <w:t>万元、专项经费</w:t>
      </w:r>
      <w:r>
        <w:rPr>
          <w:rFonts w:hint="eastAsia"/>
          <w:sz w:val="32"/>
          <w:szCs w:val="32"/>
          <w:u w:val="single"/>
        </w:rPr>
        <w:t xml:space="preserve">  6839.61 </w:t>
      </w:r>
      <w:r>
        <w:rPr>
          <w:rFonts w:hint="eastAsia"/>
          <w:sz w:val="32"/>
          <w:szCs w:val="32"/>
        </w:rPr>
        <w:t>万元），涵盖项目</w:t>
      </w:r>
      <w:r>
        <w:rPr>
          <w:rFonts w:hint="eastAsia"/>
          <w:sz w:val="32"/>
          <w:szCs w:val="32"/>
          <w:u w:val="single"/>
        </w:rPr>
        <w:t xml:space="preserve"> 8 </w:t>
      </w:r>
      <w:r>
        <w:rPr>
          <w:rFonts w:hint="eastAsia"/>
          <w:sz w:val="32"/>
          <w:szCs w:val="32"/>
        </w:rPr>
        <w:t>个。具体情况如下：</w:t>
      </w:r>
    </w:p>
    <w:p>
      <w:pPr>
        <w:spacing w:line="660" w:lineRule="exact"/>
        <w:ind w:firstLine="480" w:firstLineChars="200"/>
        <w:jc w:val="right"/>
        <w:rPr>
          <w:sz w:val="32"/>
          <w:szCs w:val="32"/>
        </w:rPr>
      </w:pPr>
      <w:r>
        <w:rPr>
          <w:rFonts w:hint="eastAsia"/>
          <w:sz w:val="24"/>
          <w:szCs w:val="24"/>
        </w:rPr>
        <w:t>金额单位：万元</w:t>
      </w:r>
    </w:p>
    <w:tbl>
      <w:tblPr>
        <w:tblStyle w:val="11"/>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055"/>
        <w:gridCol w:w="3584"/>
        <w:gridCol w:w="944"/>
        <w:gridCol w:w="1003"/>
        <w:gridCol w:w="899"/>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44" w:type="dxa"/>
            <w:vMerge w:val="restart"/>
            <w:vAlign w:val="center"/>
          </w:tcPr>
          <w:p>
            <w:pPr>
              <w:jc w:val="center"/>
              <w:rPr>
                <w:sz w:val="21"/>
                <w:szCs w:val="21"/>
              </w:rPr>
            </w:pPr>
            <w:r>
              <w:rPr>
                <w:rFonts w:hint="eastAsia"/>
                <w:sz w:val="21"/>
                <w:szCs w:val="21"/>
              </w:rPr>
              <w:t>项目名称</w:t>
            </w:r>
          </w:p>
        </w:tc>
        <w:tc>
          <w:tcPr>
            <w:tcW w:w="1064" w:type="dxa"/>
            <w:vMerge w:val="restart"/>
            <w:vAlign w:val="center"/>
          </w:tcPr>
          <w:p>
            <w:pPr>
              <w:jc w:val="center"/>
              <w:rPr>
                <w:sz w:val="21"/>
                <w:szCs w:val="21"/>
              </w:rPr>
            </w:pPr>
            <w:r>
              <w:rPr>
                <w:rFonts w:hint="eastAsia"/>
                <w:sz w:val="21"/>
                <w:szCs w:val="21"/>
              </w:rPr>
              <w:t>项目类型</w:t>
            </w:r>
          </w:p>
        </w:tc>
        <w:tc>
          <w:tcPr>
            <w:tcW w:w="3623" w:type="dxa"/>
            <w:vMerge w:val="restart"/>
            <w:vAlign w:val="center"/>
          </w:tcPr>
          <w:p>
            <w:pPr>
              <w:jc w:val="center"/>
              <w:rPr>
                <w:sz w:val="21"/>
                <w:szCs w:val="21"/>
              </w:rPr>
            </w:pPr>
            <w:r>
              <w:rPr>
                <w:rFonts w:hint="eastAsia"/>
                <w:sz w:val="21"/>
                <w:szCs w:val="21"/>
              </w:rPr>
              <w:t>资金用途、使用方向</w:t>
            </w:r>
          </w:p>
        </w:tc>
        <w:tc>
          <w:tcPr>
            <w:tcW w:w="1950" w:type="dxa"/>
            <w:gridSpan w:val="2"/>
            <w:vAlign w:val="center"/>
          </w:tcPr>
          <w:p>
            <w:pPr>
              <w:jc w:val="center"/>
              <w:rPr>
                <w:sz w:val="21"/>
                <w:szCs w:val="21"/>
              </w:rPr>
            </w:pPr>
            <w:r>
              <w:rPr>
                <w:rFonts w:hint="eastAsia"/>
                <w:sz w:val="21"/>
                <w:szCs w:val="21"/>
              </w:rPr>
              <w:t>预算金额</w:t>
            </w:r>
          </w:p>
        </w:tc>
        <w:tc>
          <w:tcPr>
            <w:tcW w:w="1796" w:type="dxa"/>
            <w:gridSpan w:val="2"/>
            <w:vAlign w:val="center"/>
          </w:tcPr>
          <w:p>
            <w:pPr>
              <w:jc w:val="center"/>
              <w:rPr>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44" w:type="dxa"/>
            <w:vMerge w:val="continue"/>
            <w:vAlign w:val="center"/>
          </w:tcPr>
          <w:p>
            <w:pPr>
              <w:jc w:val="center"/>
              <w:rPr>
                <w:sz w:val="21"/>
                <w:szCs w:val="21"/>
              </w:rPr>
            </w:pPr>
          </w:p>
        </w:tc>
        <w:tc>
          <w:tcPr>
            <w:tcW w:w="1064" w:type="dxa"/>
            <w:vMerge w:val="continue"/>
            <w:vAlign w:val="center"/>
          </w:tcPr>
          <w:p>
            <w:pPr>
              <w:jc w:val="center"/>
              <w:rPr>
                <w:sz w:val="21"/>
                <w:szCs w:val="21"/>
              </w:rPr>
            </w:pPr>
          </w:p>
        </w:tc>
        <w:tc>
          <w:tcPr>
            <w:tcW w:w="3623" w:type="dxa"/>
            <w:vMerge w:val="continue"/>
            <w:vAlign w:val="center"/>
          </w:tcPr>
          <w:p>
            <w:pPr>
              <w:jc w:val="center"/>
              <w:rPr>
                <w:sz w:val="21"/>
                <w:szCs w:val="21"/>
              </w:rPr>
            </w:pPr>
          </w:p>
        </w:tc>
        <w:tc>
          <w:tcPr>
            <w:tcW w:w="945" w:type="dxa"/>
            <w:vAlign w:val="center"/>
          </w:tcPr>
          <w:p>
            <w:pPr>
              <w:jc w:val="center"/>
              <w:rPr>
                <w:sz w:val="21"/>
                <w:szCs w:val="21"/>
              </w:rPr>
            </w:pPr>
            <w:r>
              <w:rPr>
                <w:rFonts w:hint="eastAsia"/>
                <w:sz w:val="21"/>
                <w:szCs w:val="21"/>
              </w:rPr>
              <w:t>指标</w:t>
            </w:r>
          </w:p>
          <w:p>
            <w:pPr>
              <w:jc w:val="center"/>
              <w:rPr>
                <w:sz w:val="21"/>
                <w:szCs w:val="21"/>
              </w:rPr>
            </w:pPr>
            <w:r>
              <w:rPr>
                <w:rFonts w:hint="eastAsia"/>
                <w:sz w:val="21"/>
                <w:szCs w:val="21"/>
              </w:rPr>
              <w:t>总额</w:t>
            </w:r>
          </w:p>
        </w:tc>
        <w:tc>
          <w:tcPr>
            <w:tcW w:w="1005" w:type="dxa"/>
            <w:vAlign w:val="center"/>
          </w:tcPr>
          <w:p>
            <w:pPr>
              <w:jc w:val="center"/>
              <w:rPr>
                <w:sz w:val="21"/>
                <w:szCs w:val="21"/>
              </w:rPr>
            </w:pPr>
            <w:r>
              <w:rPr>
                <w:rFonts w:hint="eastAsia"/>
                <w:sz w:val="21"/>
                <w:szCs w:val="21"/>
              </w:rPr>
              <w:t>其中：区级资金</w:t>
            </w:r>
          </w:p>
        </w:tc>
        <w:tc>
          <w:tcPr>
            <w:tcW w:w="840" w:type="dxa"/>
            <w:vAlign w:val="center"/>
          </w:tcPr>
          <w:p>
            <w:pPr>
              <w:jc w:val="center"/>
              <w:rPr>
                <w:sz w:val="21"/>
                <w:szCs w:val="21"/>
              </w:rPr>
            </w:pPr>
            <w:r>
              <w:rPr>
                <w:rFonts w:hint="eastAsia"/>
                <w:sz w:val="21"/>
                <w:szCs w:val="21"/>
              </w:rPr>
              <w:t>支出总额</w:t>
            </w:r>
          </w:p>
        </w:tc>
        <w:tc>
          <w:tcPr>
            <w:tcW w:w="956" w:type="dxa"/>
            <w:vAlign w:val="center"/>
          </w:tcPr>
          <w:p>
            <w:pPr>
              <w:jc w:val="center"/>
              <w:rPr>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44" w:type="dxa"/>
            <w:vAlign w:val="center"/>
          </w:tcPr>
          <w:p>
            <w:pPr>
              <w:jc w:val="center"/>
              <w:rPr>
                <w:sz w:val="21"/>
                <w:szCs w:val="21"/>
              </w:rPr>
            </w:pPr>
            <w:r>
              <w:rPr>
                <w:rFonts w:hint="eastAsia"/>
                <w:sz w:val="21"/>
                <w:szCs w:val="21"/>
              </w:rPr>
              <w:t>城管工作经费</w:t>
            </w:r>
          </w:p>
        </w:tc>
        <w:tc>
          <w:tcPr>
            <w:tcW w:w="1064" w:type="dxa"/>
            <w:vAlign w:val="center"/>
          </w:tcPr>
          <w:p>
            <w:pPr>
              <w:rPr>
                <w:sz w:val="21"/>
                <w:szCs w:val="21"/>
              </w:rPr>
            </w:pPr>
            <w:r>
              <w:rPr>
                <w:rFonts w:hint="eastAsia"/>
                <w:sz w:val="21"/>
                <w:szCs w:val="21"/>
              </w:rPr>
              <w:t>业务工作经费</w:t>
            </w:r>
          </w:p>
        </w:tc>
        <w:tc>
          <w:tcPr>
            <w:tcW w:w="3623" w:type="dxa"/>
            <w:vAlign w:val="center"/>
          </w:tcPr>
          <w:p>
            <w:pPr>
              <w:rPr>
                <w:sz w:val="21"/>
                <w:szCs w:val="21"/>
              </w:rPr>
            </w:pPr>
            <w:r>
              <w:rPr>
                <w:rFonts w:hint="eastAsia"/>
                <w:sz w:val="21"/>
                <w:szCs w:val="21"/>
              </w:rPr>
              <w:t>日常的城管督察考核、蓝天保卫战、文明创建等工作的开支、热力燃气、桥梁隧道管理。</w:t>
            </w:r>
          </w:p>
        </w:tc>
        <w:tc>
          <w:tcPr>
            <w:tcW w:w="945" w:type="dxa"/>
            <w:vAlign w:val="center"/>
          </w:tcPr>
          <w:p>
            <w:pPr>
              <w:rPr>
                <w:sz w:val="21"/>
                <w:szCs w:val="21"/>
              </w:rPr>
            </w:pPr>
            <w:r>
              <w:rPr>
                <w:rFonts w:hint="eastAsia"/>
                <w:sz w:val="21"/>
                <w:szCs w:val="21"/>
              </w:rPr>
              <w:t>74.01</w:t>
            </w:r>
          </w:p>
        </w:tc>
        <w:tc>
          <w:tcPr>
            <w:tcW w:w="1005" w:type="dxa"/>
            <w:vAlign w:val="center"/>
          </w:tcPr>
          <w:p>
            <w:pPr>
              <w:rPr>
                <w:sz w:val="21"/>
                <w:szCs w:val="21"/>
              </w:rPr>
            </w:pPr>
            <w:r>
              <w:rPr>
                <w:rFonts w:hint="eastAsia"/>
                <w:sz w:val="21"/>
                <w:szCs w:val="21"/>
              </w:rPr>
              <w:t>74.01</w:t>
            </w:r>
          </w:p>
        </w:tc>
        <w:tc>
          <w:tcPr>
            <w:tcW w:w="840" w:type="dxa"/>
            <w:vAlign w:val="center"/>
          </w:tcPr>
          <w:p>
            <w:pPr>
              <w:rPr>
                <w:sz w:val="21"/>
                <w:szCs w:val="21"/>
              </w:rPr>
            </w:pPr>
            <w:r>
              <w:rPr>
                <w:rFonts w:hint="eastAsia"/>
                <w:sz w:val="21"/>
                <w:szCs w:val="21"/>
              </w:rPr>
              <w:t>69.1</w:t>
            </w:r>
          </w:p>
        </w:tc>
        <w:tc>
          <w:tcPr>
            <w:tcW w:w="956" w:type="dxa"/>
            <w:vAlign w:val="center"/>
          </w:tcPr>
          <w:p>
            <w:pPr>
              <w:rPr>
                <w:sz w:val="21"/>
                <w:szCs w:val="21"/>
              </w:rPr>
            </w:pPr>
            <w:r>
              <w:rPr>
                <w:rFonts w:hint="eastAsia"/>
                <w:sz w:val="21"/>
                <w:szCs w:val="21"/>
              </w:rPr>
              <w:t>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1144" w:type="dxa"/>
            <w:vAlign w:val="center"/>
          </w:tcPr>
          <w:p>
            <w:pPr>
              <w:jc w:val="center"/>
              <w:rPr>
                <w:sz w:val="21"/>
                <w:szCs w:val="21"/>
              </w:rPr>
            </w:pPr>
            <w:r>
              <w:rPr>
                <w:rFonts w:hint="eastAsia"/>
                <w:sz w:val="21"/>
                <w:szCs w:val="21"/>
              </w:rPr>
              <w:t>监管中心运行经费</w:t>
            </w:r>
          </w:p>
        </w:tc>
        <w:tc>
          <w:tcPr>
            <w:tcW w:w="1064" w:type="dxa"/>
            <w:vAlign w:val="center"/>
          </w:tcPr>
          <w:p>
            <w:pPr>
              <w:rPr>
                <w:sz w:val="21"/>
                <w:szCs w:val="21"/>
              </w:rPr>
            </w:pPr>
            <w:r>
              <w:rPr>
                <w:rFonts w:hint="eastAsia"/>
                <w:sz w:val="21"/>
                <w:szCs w:val="21"/>
              </w:rPr>
              <w:t>业务工作经费</w:t>
            </w:r>
          </w:p>
        </w:tc>
        <w:tc>
          <w:tcPr>
            <w:tcW w:w="3623" w:type="dxa"/>
            <w:vAlign w:val="center"/>
          </w:tcPr>
          <w:p>
            <w:pPr>
              <w:spacing w:line="560" w:lineRule="exact"/>
              <w:outlineLvl w:val="0"/>
              <w:rPr>
                <w:sz w:val="21"/>
                <w:szCs w:val="21"/>
              </w:rPr>
            </w:pPr>
            <w:r>
              <w:rPr>
                <w:rFonts w:hint="eastAsia"/>
                <w:sz w:val="21"/>
                <w:szCs w:val="21"/>
              </w:rPr>
              <w:t>中心由局分管领导带领中心、科室，街道、部门19个终端平台中心，完成长沙市城市管理委员会下派的各种数据及工单。</w:t>
            </w:r>
          </w:p>
        </w:tc>
        <w:tc>
          <w:tcPr>
            <w:tcW w:w="945" w:type="dxa"/>
            <w:vAlign w:val="center"/>
          </w:tcPr>
          <w:p>
            <w:pPr>
              <w:rPr>
                <w:sz w:val="21"/>
                <w:szCs w:val="21"/>
              </w:rPr>
            </w:pPr>
            <w:r>
              <w:rPr>
                <w:rFonts w:hint="eastAsia"/>
                <w:sz w:val="21"/>
                <w:szCs w:val="21"/>
              </w:rPr>
              <w:t>54.15</w:t>
            </w:r>
          </w:p>
        </w:tc>
        <w:tc>
          <w:tcPr>
            <w:tcW w:w="1005" w:type="dxa"/>
            <w:vAlign w:val="center"/>
          </w:tcPr>
          <w:p>
            <w:pPr>
              <w:rPr>
                <w:sz w:val="21"/>
                <w:szCs w:val="21"/>
              </w:rPr>
            </w:pPr>
            <w:r>
              <w:rPr>
                <w:rFonts w:hint="eastAsia"/>
                <w:sz w:val="21"/>
                <w:szCs w:val="21"/>
              </w:rPr>
              <w:t>54.15</w:t>
            </w:r>
          </w:p>
        </w:tc>
        <w:tc>
          <w:tcPr>
            <w:tcW w:w="840" w:type="dxa"/>
            <w:vAlign w:val="center"/>
          </w:tcPr>
          <w:p>
            <w:pPr>
              <w:rPr>
                <w:sz w:val="21"/>
                <w:szCs w:val="21"/>
              </w:rPr>
            </w:pPr>
            <w:r>
              <w:rPr>
                <w:rFonts w:hint="eastAsia"/>
                <w:sz w:val="21"/>
                <w:szCs w:val="21"/>
              </w:rPr>
              <w:t>35.95</w:t>
            </w:r>
          </w:p>
        </w:tc>
        <w:tc>
          <w:tcPr>
            <w:tcW w:w="956" w:type="dxa"/>
            <w:vAlign w:val="center"/>
          </w:tcPr>
          <w:p>
            <w:pPr>
              <w:rPr>
                <w:sz w:val="21"/>
                <w:szCs w:val="21"/>
              </w:rPr>
            </w:pPr>
            <w:r>
              <w:rPr>
                <w:rFonts w:hint="eastAsia"/>
                <w:sz w:val="21"/>
                <w:szCs w:val="21"/>
              </w:rPr>
              <w:t>35.95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44" w:type="dxa"/>
            <w:vAlign w:val="center"/>
          </w:tcPr>
          <w:p>
            <w:pPr>
              <w:jc w:val="center"/>
              <w:rPr>
                <w:sz w:val="21"/>
                <w:szCs w:val="21"/>
              </w:rPr>
            </w:pPr>
            <w:r>
              <w:rPr>
                <w:rFonts w:hint="eastAsia"/>
                <w:sz w:val="21"/>
                <w:szCs w:val="21"/>
                <w:lang w:eastAsia="zh-CN"/>
              </w:rPr>
              <w:t>综合管理</w:t>
            </w:r>
            <w:r>
              <w:rPr>
                <w:rFonts w:hint="eastAsia"/>
                <w:sz w:val="21"/>
                <w:szCs w:val="21"/>
              </w:rPr>
              <w:t>科分管专项</w:t>
            </w:r>
          </w:p>
        </w:tc>
        <w:tc>
          <w:tcPr>
            <w:tcW w:w="1064" w:type="dxa"/>
            <w:vAlign w:val="center"/>
          </w:tcPr>
          <w:p>
            <w:pPr>
              <w:rPr>
                <w:sz w:val="21"/>
                <w:szCs w:val="21"/>
              </w:rPr>
            </w:pPr>
            <w:r>
              <w:rPr>
                <w:rFonts w:hint="eastAsia"/>
                <w:sz w:val="21"/>
                <w:szCs w:val="21"/>
              </w:rPr>
              <w:t>专项经费</w:t>
            </w:r>
          </w:p>
        </w:tc>
        <w:tc>
          <w:tcPr>
            <w:tcW w:w="3623" w:type="dxa"/>
            <w:vAlign w:val="center"/>
          </w:tcPr>
          <w:p>
            <w:pPr>
              <w:rPr>
                <w:sz w:val="21"/>
                <w:szCs w:val="21"/>
              </w:rPr>
            </w:pPr>
            <w:r>
              <w:rPr>
                <w:rFonts w:hint="eastAsia"/>
                <w:sz w:val="21"/>
                <w:szCs w:val="21"/>
              </w:rPr>
              <w:t>包含城管协管员工资社保、队伍建设经费、背街小巷作业经费</w:t>
            </w:r>
          </w:p>
        </w:tc>
        <w:tc>
          <w:tcPr>
            <w:tcW w:w="945" w:type="dxa"/>
            <w:vAlign w:val="center"/>
          </w:tcPr>
          <w:p>
            <w:pPr>
              <w:rPr>
                <w:sz w:val="21"/>
                <w:szCs w:val="21"/>
              </w:rPr>
            </w:pPr>
            <w:r>
              <w:rPr>
                <w:rFonts w:hint="eastAsia"/>
                <w:sz w:val="21"/>
                <w:szCs w:val="21"/>
              </w:rPr>
              <w:t>5445.72</w:t>
            </w:r>
          </w:p>
        </w:tc>
        <w:tc>
          <w:tcPr>
            <w:tcW w:w="1005" w:type="dxa"/>
            <w:vAlign w:val="center"/>
          </w:tcPr>
          <w:p>
            <w:pPr>
              <w:rPr>
                <w:sz w:val="21"/>
                <w:szCs w:val="21"/>
              </w:rPr>
            </w:pPr>
            <w:r>
              <w:rPr>
                <w:rFonts w:hint="eastAsia"/>
                <w:sz w:val="21"/>
                <w:szCs w:val="21"/>
              </w:rPr>
              <w:t>5445.72</w:t>
            </w:r>
          </w:p>
        </w:tc>
        <w:tc>
          <w:tcPr>
            <w:tcW w:w="840" w:type="dxa"/>
            <w:vAlign w:val="center"/>
          </w:tcPr>
          <w:p>
            <w:pPr>
              <w:rPr>
                <w:sz w:val="21"/>
                <w:szCs w:val="21"/>
              </w:rPr>
            </w:pPr>
            <w:r>
              <w:rPr>
                <w:rFonts w:hint="eastAsia"/>
                <w:sz w:val="21"/>
                <w:szCs w:val="21"/>
              </w:rPr>
              <w:t>5450.06</w:t>
            </w:r>
          </w:p>
        </w:tc>
        <w:tc>
          <w:tcPr>
            <w:tcW w:w="956" w:type="dxa"/>
            <w:vAlign w:val="center"/>
          </w:tcPr>
          <w:p>
            <w:pPr>
              <w:rPr>
                <w:sz w:val="21"/>
                <w:szCs w:val="21"/>
              </w:rPr>
            </w:pPr>
            <w:r>
              <w:rPr>
                <w:rFonts w:hint="eastAsia"/>
                <w:sz w:val="21"/>
                <w:szCs w:val="21"/>
              </w:rPr>
              <w:t>5450.76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44" w:type="dxa"/>
            <w:vAlign w:val="center"/>
          </w:tcPr>
          <w:p>
            <w:pPr>
              <w:jc w:val="center"/>
              <w:rPr>
                <w:sz w:val="21"/>
                <w:szCs w:val="21"/>
              </w:rPr>
            </w:pPr>
            <w:r>
              <w:rPr>
                <w:rFonts w:hint="eastAsia"/>
                <w:sz w:val="21"/>
                <w:szCs w:val="21"/>
              </w:rPr>
              <w:t>垃圾分类专项经费</w:t>
            </w:r>
          </w:p>
        </w:tc>
        <w:tc>
          <w:tcPr>
            <w:tcW w:w="1064" w:type="dxa"/>
            <w:vAlign w:val="center"/>
          </w:tcPr>
          <w:p>
            <w:pPr>
              <w:rPr>
                <w:sz w:val="21"/>
                <w:szCs w:val="21"/>
              </w:rPr>
            </w:pPr>
            <w:r>
              <w:rPr>
                <w:rFonts w:hint="eastAsia"/>
                <w:sz w:val="21"/>
                <w:szCs w:val="21"/>
              </w:rPr>
              <w:t>专项经费</w:t>
            </w:r>
          </w:p>
        </w:tc>
        <w:tc>
          <w:tcPr>
            <w:tcW w:w="3623" w:type="dxa"/>
            <w:vAlign w:val="center"/>
          </w:tcPr>
          <w:p>
            <w:pPr>
              <w:rPr>
                <w:sz w:val="21"/>
                <w:szCs w:val="21"/>
              </w:rPr>
            </w:pPr>
            <w:r>
              <w:rPr>
                <w:rFonts w:hint="eastAsia"/>
                <w:sz w:val="21"/>
                <w:szCs w:val="21"/>
              </w:rPr>
              <w:t>一是农村垃圾分类工作由农水局牵头，23个村级片区预算资金145万元。二是环卫配套设施改造及环卫垃圾分类相关经费，共计226.6066万元。三是拨付给全区16个街道用于四分类投放点督导员的督导和清运履职的奖补，以及转运点到厨余垃圾站的运输及管理费</w:t>
            </w:r>
          </w:p>
        </w:tc>
        <w:tc>
          <w:tcPr>
            <w:tcW w:w="945" w:type="dxa"/>
            <w:vAlign w:val="center"/>
          </w:tcPr>
          <w:p>
            <w:pPr>
              <w:rPr>
                <w:sz w:val="21"/>
                <w:szCs w:val="21"/>
              </w:rPr>
            </w:pPr>
            <w:r>
              <w:rPr>
                <w:rFonts w:hint="eastAsia"/>
                <w:sz w:val="21"/>
                <w:szCs w:val="21"/>
              </w:rPr>
              <w:t>800</w:t>
            </w:r>
          </w:p>
        </w:tc>
        <w:tc>
          <w:tcPr>
            <w:tcW w:w="1005" w:type="dxa"/>
            <w:vAlign w:val="center"/>
          </w:tcPr>
          <w:p>
            <w:pPr>
              <w:rPr>
                <w:sz w:val="21"/>
                <w:szCs w:val="21"/>
              </w:rPr>
            </w:pPr>
            <w:r>
              <w:rPr>
                <w:rFonts w:hint="eastAsia"/>
                <w:sz w:val="21"/>
                <w:szCs w:val="21"/>
              </w:rPr>
              <w:t>800</w:t>
            </w:r>
          </w:p>
        </w:tc>
        <w:tc>
          <w:tcPr>
            <w:tcW w:w="840" w:type="dxa"/>
            <w:vAlign w:val="center"/>
          </w:tcPr>
          <w:p>
            <w:pPr>
              <w:rPr>
                <w:sz w:val="21"/>
                <w:szCs w:val="21"/>
              </w:rPr>
            </w:pPr>
            <w:r>
              <w:rPr>
                <w:rFonts w:hint="eastAsia"/>
                <w:sz w:val="21"/>
                <w:szCs w:val="21"/>
              </w:rPr>
              <w:t>799.87</w:t>
            </w:r>
          </w:p>
        </w:tc>
        <w:tc>
          <w:tcPr>
            <w:tcW w:w="956" w:type="dxa"/>
            <w:vAlign w:val="center"/>
          </w:tcPr>
          <w:p>
            <w:pPr>
              <w:rPr>
                <w:sz w:val="21"/>
                <w:szCs w:val="21"/>
              </w:rPr>
            </w:pPr>
            <w:r>
              <w:rPr>
                <w:rFonts w:hint="eastAsia"/>
                <w:sz w:val="21"/>
                <w:szCs w:val="21"/>
              </w:rPr>
              <w:t>799.87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44" w:type="dxa"/>
            <w:vAlign w:val="center"/>
          </w:tcPr>
          <w:p>
            <w:pPr>
              <w:jc w:val="center"/>
              <w:rPr>
                <w:sz w:val="21"/>
                <w:szCs w:val="21"/>
              </w:rPr>
            </w:pPr>
            <w:r>
              <w:rPr>
                <w:rFonts w:hint="eastAsia"/>
                <w:sz w:val="21"/>
                <w:szCs w:val="21"/>
              </w:rPr>
              <w:t>油烟在线检测系统项目经费和维护经费</w:t>
            </w:r>
          </w:p>
        </w:tc>
        <w:tc>
          <w:tcPr>
            <w:tcW w:w="1064" w:type="dxa"/>
            <w:vAlign w:val="center"/>
          </w:tcPr>
          <w:p>
            <w:pPr>
              <w:rPr>
                <w:sz w:val="21"/>
                <w:szCs w:val="21"/>
              </w:rPr>
            </w:pPr>
            <w:r>
              <w:rPr>
                <w:rFonts w:hint="eastAsia"/>
                <w:sz w:val="21"/>
                <w:szCs w:val="21"/>
              </w:rPr>
              <w:t>专项经费</w:t>
            </w:r>
          </w:p>
        </w:tc>
        <w:tc>
          <w:tcPr>
            <w:tcW w:w="3623" w:type="dxa"/>
            <w:vAlign w:val="center"/>
          </w:tcPr>
          <w:p>
            <w:pPr>
              <w:rPr>
                <w:sz w:val="21"/>
                <w:szCs w:val="21"/>
              </w:rPr>
            </w:pPr>
            <w:r>
              <w:rPr>
                <w:rFonts w:hint="eastAsia"/>
                <w:sz w:val="21"/>
                <w:szCs w:val="21"/>
              </w:rPr>
              <w:t>706家餐饮油烟的检测维护</w:t>
            </w:r>
          </w:p>
        </w:tc>
        <w:tc>
          <w:tcPr>
            <w:tcW w:w="945" w:type="dxa"/>
            <w:vAlign w:val="center"/>
          </w:tcPr>
          <w:p>
            <w:pPr>
              <w:rPr>
                <w:sz w:val="21"/>
                <w:szCs w:val="21"/>
              </w:rPr>
            </w:pPr>
            <w:r>
              <w:rPr>
                <w:rFonts w:hint="eastAsia"/>
                <w:sz w:val="21"/>
                <w:szCs w:val="21"/>
              </w:rPr>
              <w:t>141.2</w:t>
            </w:r>
          </w:p>
        </w:tc>
        <w:tc>
          <w:tcPr>
            <w:tcW w:w="1005" w:type="dxa"/>
            <w:vAlign w:val="center"/>
          </w:tcPr>
          <w:p>
            <w:pPr>
              <w:rPr>
                <w:sz w:val="21"/>
                <w:szCs w:val="21"/>
              </w:rPr>
            </w:pPr>
            <w:r>
              <w:rPr>
                <w:rFonts w:hint="eastAsia"/>
                <w:sz w:val="21"/>
                <w:szCs w:val="21"/>
              </w:rPr>
              <w:t>141.2</w:t>
            </w:r>
          </w:p>
        </w:tc>
        <w:tc>
          <w:tcPr>
            <w:tcW w:w="840" w:type="dxa"/>
            <w:vAlign w:val="center"/>
          </w:tcPr>
          <w:p>
            <w:pPr>
              <w:rPr>
                <w:sz w:val="21"/>
                <w:szCs w:val="21"/>
              </w:rPr>
            </w:pPr>
            <w:r>
              <w:rPr>
                <w:rFonts w:hint="eastAsia"/>
                <w:sz w:val="21"/>
                <w:szCs w:val="21"/>
              </w:rPr>
              <w:t>104.75</w:t>
            </w:r>
          </w:p>
        </w:tc>
        <w:tc>
          <w:tcPr>
            <w:tcW w:w="956" w:type="dxa"/>
            <w:vAlign w:val="center"/>
          </w:tcPr>
          <w:p>
            <w:pPr>
              <w:rPr>
                <w:sz w:val="21"/>
                <w:szCs w:val="21"/>
              </w:rPr>
            </w:pPr>
            <w:r>
              <w:rPr>
                <w:rFonts w:hint="eastAsia"/>
                <w:sz w:val="21"/>
                <w:szCs w:val="21"/>
              </w:rPr>
              <w:t>104.75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44" w:type="dxa"/>
            <w:vAlign w:val="center"/>
          </w:tcPr>
          <w:p>
            <w:pPr>
              <w:jc w:val="center"/>
              <w:rPr>
                <w:sz w:val="21"/>
                <w:szCs w:val="21"/>
              </w:rPr>
            </w:pPr>
            <w:r>
              <w:rPr>
                <w:rFonts w:hint="eastAsia"/>
                <w:sz w:val="21"/>
                <w:szCs w:val="21"/>
              </w:rPr>
              <w:t>城管系统考核经费</w:t>
            </w:r>
          </w:p>
        </w:tc>
        <w:tc>
          <w:tcPr>
            <w:tcW w:w="1064" w:type="dxa"/>
            <w:vAlign w:val="center"/>
          </w:tcPr>
          <w:p>
            <w:pPr>
              <w:rPr>
                <w:sz w:val="21"/>
                <w:szCs w:val="21"/>
              </w:rPr>
            </w:pPr>
            <w:r>
              <w:rPr>
                <w:rFonts w:hint="eastAsia"/>
                <w:sz w:val="21"/>
                <w:szCs w:val="21"/>
              </w:rPr>
              <w:t>专项经费</w:t>
            </w:r>
          </w:p>
        </w:tc>
        <w:tc>
          <w:tcPr>
            <w:tcW w:w="3623" w:type="dxa"/>
            <w:vAlign w:val="center"/>
          </w:tcPr>
          <w:p>
            <w:pPr>
              <w:rPr>
                <w:sz w:val="21"/>
                <w:szCs w:val="21"/>
              </w:rPr>
            </w:pPr>
            <w:r>
              <w:rPr>
                <w:rFonts w:hint="eastAsia"/>
                <w:sz w:val="21"/>
                <w:szCs w:val="21"/>
              </w:rPr>
              <w:t>原城管机动经费</w:t>
            </w:r>
          </w:p>
        </w:tc>
        <w:tc>
          <w:tcPr>
            <w:tcW w:w="945" w:type="dxa"/>
            <w:vAlign w:val="center"/>
          </w:tcPr>
          <w:p>
            <w:pPr>
              <w:rPr>
                <w:sz w:val="21"/>
                <w:szCs w:val="21"/>
              </w:rPr>
            </w:pPr>
            <w:r>
              <w:rPr>
                <w:rFonts w:hint="eastAsia"/>
                <w:sz w:val="21"/>
                <w:szCs w:val="21"/>
              </w:rPr>
              <w:t>50</w:t>
            </w:r>
          </w:p>
        </w:tc>
        <w:tc>
          <w:tcPr>
            <w:tcW w:w="1005" w:type="dxa"/>
            <w:vAlign w:val="center"/>
          </w:tcPr>
          <w:p>
            <w:pPr>
              <w:rPr>
                <w:sz w:val="21"/>
                <w:szCs w:val="21"/>
              </w:rPr>
            </w:pPr>
            <w:r>
              <w:rPr>
                <w:rFonts w:hint="eastAsia"/>
                <w:sz w:val="21"/>
                <w:szCs w:val="21"/>
              </w:rPr>
              <w:t>50</w:t>
            </w:r>
          </w:p>
        </w:tc>
        <w:tc>
          <w:tcPr>
            <w:tcW w:w="840" w:type="dxa"/>
            <w:vAlign w:val="center"/>
          </w:tcPr>
          <w:p>
            <w:pPr>
              <w:rPr>
                <w:sz w:val="21"/>
                <w:szCs w:val="21"/>
              </w:rPr>
            </w:pPr>
            <w:r>
              <w:rPr>
                <w:rFonts w:hint="eastAsia"/>
                <w:sz w:val="21"/>
                <w:szCs w:val="21"/>
              </w:rPr>
              <w:t>44.78</w:t>
            </w:r>
          </w:p>
        </w:tc>
        <w:tc>
          <w:tcPr>
            <w:tcW w:w="956" w:type="dxa"/>
            <w:vAlign w:val="center"/>
          </w:tcPr>
          <w:p>
            <w:pPr>
              <w:rPr>
                <w:sz w:val="21"/>
                <w:szCs w:val="21"/>
              </w:rPr>
            </w:pPr>
            <w:r>
              <w:rPr>
                <w:rFonts w:hint="eastAsia"/>
                <w:sz w:val="21"/>
                <w:szCs w:val="21"/>
              </w:rPr>
              <w:t>44.78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44" w:type="dxa"/>
            <w:vAlign w:val="center"/>
          </w:tcPr>
          <w:p>
            <w:pPr>
              <w:jc w:val="center"/>
              <w:rPr>
                <w:sz w:val="21"/>
                <w:szCs w:val="21"/>
              </w:rPr>
            </w:pPr>
            <w:r>
              <w:rPr>
                <w:rFonts w:hint="eastAsia"/>
                <w:sz w:val="21"/>
                <w:szCs w:val="21"/>
              </w:rPr>
              <w:t>两违防控、应急等专项城管问题二级采集劳务外包经费</w:t>
            </w:r>
          </w:p>
        </w:tc>
        <w:tc>
          <w:tcPr>
            <w:tcW w:w="1064" w:type="dxa"/>
            <w:vAlign w:val="center"/>
          </w:tcPr>
          <w:p>
            <w:pPr>
              <w:rPr>
                <w:sz w:val="21"/>
                <w:szCs w:val="21"/>
              </w:rPr>
            </w:pPr>
            <w:r>
              <w:rPr>
                <w:rFonts w:hint="eastAsia"/>
                <w:sz w:val="21"/>
                <w:szCs w:val="21"/>
              </w:rPr>
              <w:t>专项经费</w:t>
            </w:r>
          </w:p>
        </w:tc>
        <w:tc>
          <w:tcPr>
            <w:tcW w:w="3623" w:type="dxa"/>
            <w:vAlign w:val="center"/>
          </w:tcPr>
          <w:p>
            <w:pPr>
              <w:rPr>
                <w:sz w:val="21"/>
                <w:szCs w:val="21"/>
              </w:rPr>
            </w:pPr>
            <w:r>
              <w:rPr>
                <w:rFonts w:hint="eastAsia"/>
                <w:sz w:val="21"/>
                <w:szCs w:val="21"/>
              </w:rPr>
              <w:t>两违防控、应急等专项城管问题二级采集劳务外包经费</w:t>
            </w:r>
          </w:p>
        </w:tc>
        <w:tc>
          <w:tcPr>
            <w:tcW w:w="945" w:type="dxa"/>
            <w:vAlign w:val="center"/>
          </w:tcPr>
          <w:p>
            <w:pPr>
              <w:rPr>
                <w:sz w:val="21"/>
                <w:szCs w:val="21"/>
              </w:rPr>
            </w:pPr>
            <w:r>
              <w:rPr>
                <w:rFonts w:hint="eastAsia"/>
                <w:sz w:val="21"/>
                <w:szCs w:val="21"/>
              </w:rPr>
              <w:t>70</w:t>
            </w:r>
          </w:p>
        </w:tc>
        <w:tc>
          <w:tcPr>
            <w:tcW w:w="1005" w:type="dxa"/>
            <w:vAlign w:val="center"/>
          </w:tcPr>
          <w:p>
            <w:pPr>
              <w:rPr>
                <w:sz w:val="21"/>
                <w:szCs w:val="21"/>
              </w:rPr>
            </w:pPr>
            <w:r>
              <w:rPr>
                <w:rFonts w:hint="eastAsia"/>
                <w:sz w:val="21"/>
                <w:szCs w:val="21"/>
              </w:rPr>
              <w:t>70</w:t>
            </w:r>
          </w:p>
        </w:tc>
        <w:tc>
          <w:tcPr>
            <w:tcW w:w="840" w:type="dxa"/>
            <w:vAlign w:val="center"/>
          </w:tcPr>
          <w:p>
            <w:pPr>
              <w:rPr>
                <w:sz w:val="21"/>
                <w:szCs w:val="21"/>
              </w:rPr>
            </w:pPr>
            <w:r>
              <w:rPr>
                <w:rFonts w:hint="eastAsia"/>
                <w:sz w:val="21"/>
                <w:szCs w:val="21"/>
              </w:rPr>
              <w:t>34.61</w:t>
            </w:r>
          </w:p>
        </w:tc>
        <w:tc>
          <w:tcPr>
            <w:tcW w:w="956" w:type="dxa"/>
            <w:vAlign w:val="center"/>
          </w:tcPr>
          <w:p>
            <w:pPr>
              <w:rPr>
                <w:sz w:val="21"/>
                <w:szCs w:val="21"/>
              </w:rPr>
            </w:pPr>
            <w:r>
              <w:rPr>
                <w:rFonts w:hint="eastAsia"/>
                <w:sz w:val="21"/>
                <w:szCs w:val="21"/>
              </w:rPr>
              <w:t>34.61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44" w:type="dxa"/>
            <w:vAlign w:val="center"/>
          </w:tcPr>
          <w:p>
            <w:pPr>
              <w:jc w:val="center"/>
              <w:rPr>
                <w:sz w:val="21"/>
                <w:szCs w:val="21"/>
              </w:rPr>
            </w:pPr>
            <w:r>
              <w:rPr>
                <w:rFonts w:hint="eastAsia"/>
                <w:sz w:val="21"/>
                <w:szCs w:val="21"/>
              </w:rPr>
              <w:t>区公共专项</w:t>
            </w:r>
          </w:p>
        </w:tc>
        <w:tc>
          <w:tcPr>
            <w:tcW w:w="1064" w:type="dxa"/>
            <w:vAlign w:val="center"/>
          </w:tcPr>
          <w:p>
            <w:pPr>
              <w:rPr>
                <w:sz w:val="21"/>
                <w:szCs w:val="21"/>
              </w:rPr>
            </w:pPr>
            <w:r>
              <w:rPr>
                <w:rFonts w:hint="eastAsia"/>
                <w:sz w:val="21"/>
                <w:szCs w:val="21"/>
              </w:rPr>
              <w:t>专项经费</w:t>
            </w:r>
          </w:p>
        </w:tc>
        <w:tc>
          <w:tcPr>
            <w:tcW w:w="3623" w:type="dxa"/>
            <w:vAlign w:val="center"/>
          </w:tcPr>
          <w:p>
            <w:pPr>
              <w:rPr>
                <w:sz w:val="21"/>
                <w:szCs w:val="21"/>
              </w:rPr>
            </w:pPr>
            <w:r>
              <w:rPr>
                <w:rFonts w:hint="eastAsia"/>
                <w:sz w:val="21"/>
                <w:szCs w:val="21"/>
              </w:rPr>
              <w:t>包含城管系统共同使用的城管拆违建设经费、城管设备采购专项</w:t>
            </w:r>
          </w:p>
        </w:tc>
        <w:tc>
          <w:tcPr>
            <w:tcW w:w="945" w:type="dxa"/>
            <w:vAlign w:val="center"/>
          </w:tcPr>
          <w:p>
            <w:pPr>
              <w:rPr>
                <w:sz w:val="21"/>
                <w:szCs w:val="21"/>
              </w:rPr>
            </w:pPr>
            <w:r>
              <w:rPr>
                <w:rFonts w:hint="eastAsia"/>
                <w:sz w:val="21"/>
                <w:szCs w:val="21"/>
              </w:rPr>
              <w:t>585</w:t>
            </w:r>
          </w:p>
        </w:tc>
        <w:tc>
          <w:tcPr>
            <w:tcW w:w="1005" w:type="dxa"/>
            <w:vAlign w:val="center"/>
          </w:tcPr>
          <w:p>
            <w:pPr>
              <w:rPr>
                <w:sz w:val="21"/>
                <w:szCs w:val="21"/>
              </w:rPr>
            </w:pPr>
            <w:r>
              <w:rPr>
                <w:rFonts w:hint="eastAsia"/>
                <w:sz w:val="21"/>
                <w:szCs w:val="21"/>
              </w:rPr>
              <w:t>585</w:t>
            </w:r>
          </w:p>
        </w:tc>
        <w:tc>
          <w:tcPr>
            <w:tcW w:w="840" w:type="dxa"/>
            <w:vAlign w:val="center"/>
          </w:tcPr>
          <w:p>
            <w:pPr>
              <w:rPr>
                <w:sz w:val="21"/>
                <w:szCs w:val="21"/>
              </w:rPr>
            </w:pPr>
            <w:r>
              <w:rPr>
                <w:rFonts w:hint="eastAsia"/>
                <w:sz w:val="21"/>
                <w:szCs w:val="21"/>
              </w:rPr>
              <w:t>418</w:t>
            </w:r>
          </w:p>
        </w:tc>
        <w:tc>
          <w:tcPr>
            <w:tcW w:w="956" w:type="dxa"/>
            <w:vAlign w:val="center"/>
          </w:tcPr>
          <w:p>
            <w:pPr>
              <w:rPr>
                <w:sz w:val="21"/>
                <w:szCs w:val="21"/>
              </w:rPr>
            </w:pPr>
            <w:r>
              <w:rPr>
                <w:rFonts w:hint="eastAsia"/>
                <w:sz w:val="21"/>
                <w:szCs w:val="21"/>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831" w:type="dxa"/>
            <w:gridSpan w:val="3"/>
            <w:vAlign w:val="center"/>
          </w:tcPr>
          <w:p>
            <w:pPr>
              <w:tabs>
                <w:tab w:val="left" w:pos="2243"/>
              </w:tabs>
              <w:rPr>
                <w:sz w:val="21"/>
                <w:szCs w:val="21"/>
              </w:rPr>
            </w:pPr>
            <w:r>
              <w:rPr>
                <w:rFonts w:hint="eastAsia"/>
                <w:sz w:val="21"/>
                <w:szCs w:val="21"/>
              </w:rPr>
              <w:tab/>
            </w:r>
            <w:r>
              <w:rPr>
                <w:rFonts w:hint="eastAsia"/>
                <w:sz w:val="21"/>
                <w:szCs w:val="21"/>
              </w:rPr>
              <w:t>合计</w:t>
            </w:r>
          </w:p>
        </w:tc>
        <w:tc>
          <w:tcPr>
            <w:tcW w:w="945" w:type="dxa"/>
            <w:vAlign w:val="center"/>
          </w:tcPr>
          <w:p>
            <w:pPr>
              <w:rPr>
                <w:sz w:val="21"/>
                <w:szCs w:val="21"/>
              </w:rPr>
            </w:pPr>
            <w:r>
              <w:rPr>
                <w:rFonts w:hint="eastAsia"/>
                <w:sz w:val="21"/>
                <w:szCs w:val="21"/>
              </w:rPr>
              <w:t>7220.08</w:t>
            </w:r>
          </w:p>
        </w:tc>
        <w:tc>
          <w:tcPr>
            <w:tcW w:w="1005" w:type="dxa"/>
            <w:vAlign w:val="center"/>
          </w:tcPr>
          <w:p>
            <w:pPr>
              <w:rPr>
                <w:sz w:val="21"/>
                <w:szCs w:val="21"/>
              </w:rPr>
            </w:pPr>
            <w:r>
              <w:rPr>
                <w:rFonts w:hint="eastAsia"/>
                <w:sz w:val="21"/>
                <w:szCs w:val="21"/>
              </w:rPr>
              <w:t>7220.08</w:t>
            </w:r>
          </w:p>
        </w:tc>
        <w:tc>
          <w:tcPr>
            <w:tcW w:w="840" w:type="dxa"/>
            <w:vAlign w:val="center"/>
          </w:tcPr>
          <w:p>
            <w:pPr>
              <w:rPr>
                <w:sz w:val="21"/>
                <w:szCs w:val="21"/>
              </w:rPr>
            </w:pPr>
            <w:r>
              <w:rPr>
                <w:rFonts w:hint="eastAsia"/>
                <w:sz w:val="21"/>
                <w:szCs w:val="21"/>
              </w:rPr>
              <w:t>6957.66</w:t>
            </w:r>
          </w:p>
        </w:tc>
        <w:tc>
          <w:tcPr>
            <w:tcW w:w="956" w:type="dxa"/>
            <w:vAlign w:val="center"/>
          </w:tcPr>
          <w:p>
            <w:pPr>
              <w:rPr>
                <w:sz w:val="21"/>
                <w:szCs w:val="21"/>
              </w:rPr>
            </w:pPr>
            <w:r>
              <w:rPr>
                <w:rFonts w:hint="eastAsia"/>
                <w:sz w:val="21"/>
                <w:szCs w:val="21"/>
              </w:rPr>
              <w:t>6957.66</w:t>
            </w:r>
          </w:p>
        </w:tc>
      </w:tr>
    </w:tbl>
    <w:p>
      <w:pPr>
        <w:spacing w:line="560" w:lineRule="exact"/>
        <w:ind w:left="640"/>
        <w:rPr>
          <w:rFonts w:eastAsia="楷体_GB2312"/>
          <w:bCs/>
          <w:sz w:val="32"/>
          <w:szCs w:val="32"/>
        </w:rPr>
      </w:pPr>
      <w:r>
        <w:rPr>
          <w:rFonts w:hint="eastAsia" w:eastAsia="楷体_GB2312"/>
          <w:bCs/>
          <w:sz w:val="32"/>
          <w:szCs w:val="32"/>
        </w:rPr>
        <w:t>（二）项目绩效</w:t>
      </w:r>
      <w:r>
        <w:rPr>
          <w:rFonts w:eastAsia="楷体_GB2312"/>
          <w:bCs/>
          <w:sz w:val="32"/>
          <w:szCs w:val="32"/>
        </w:rPr>
        <w:t>目标</w:t>
      </w:r>
      <w:r>
        <w:rPr>
          <w:rFonts w:hint="eastAsia" w:eastAsia="楷体_GB2312"/>
          <w:bCs/>
          <w:sz w:val="32"/>
          <w:szCs w:val="32"/>
        </w:rPr>
        <w:t>情况</w:t>
      </w:r>
    </w:p>
    <w:p>
      <w:pPr>
        <w:pStyle w:val="10"/>
        <w:spacing w:line="56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sz w:val="32"/>
          <w:szCs w:val="32"/>
        </w:rPr>
        <w:t>1、业务性经费：目标高效办理行政审批事项1000件以上。高标准保障大型活动。全力做好全市重点项目集中开工活动、建党100周年、区第六次党代会、区人大政协“两会”等重大活动期间的市容秩序管控和卫生保洁，以绣花功夫绘就幸福之城的洁净底色。高成效助力项目拆迁腾地。目标完成区政</w:t>
      </w:r>
      <w:r>
        <w:rPr>
          <w:rFonts w:ascii="Times New Roman" w:hAnsi="Times New Roman" w:eastAsia="仿宋_GB2312"/>
          <w:sz w:val="32"/>
          <w:szCs w:val="32"/>
        </w:rPr>
        <w:t>府交办裁执分离案件</w:t>
      </w:r>
      <w:r>
        <w:rPr>
          <w:rFonts w:hint="eastAsia" w:ascii="Times New Roman" w:hAnsi="Times New Roman" w:eastAsia="仿宋_GB2312"/>
          <w:sz w:val="32"/>
          <w:szCs w:val="32"/>
        </w:rPr>
        <w:t>20</w:t>
      </w:r>
      <w:r>
        <w:rPr>
          <w:rFonts w:ascii="Times New Roman" w:hAnsi="Times New Roman" w:eastAsia="仿宋_GB2312"/>
          <w:sz w:val="32"/>
          <w:szCs w:val="32"/>
        </w:rPr>
        <w:t>起</w:t>
      </w:r>
      <w:r>
        <w:rPr>
          <w:rFonts w:hint="eastAsia" w:ascii="Times New Roman" w:hAnsi="Times New Roman" w:eastAsia="仿宋_GB2312"/>
          <w:sz w:val="32"/>
          <w:szCs w:val="32"/>
        </w:rPr>
        <w:t>以上</w:t>
      </w:r>
      <w:r>
        <w:rPr>
          <w:rFonts w:ascii="Times New Roman" w:hAnsi="Times New Roman" w:eastAsia="仿宋_GB2312"/>
          <w:sz w:val="32"/>
          <w:szCs w:val="32"/>
        </w:rPr>
        <w:t>，组织强制执行行动33次，促进各项目签协议</w:t>
      </w:r>
      <w:r>
        <w:rPr>
          <w:rFonts w:hint="eastAsia" w:ascii="Times New Roman" w:hAnsi="Times New Roman" w:eastAsia="仿宋_GB2312"/>
          <w:sz w:val="32"/>
          <w:szCs w:val="32"/>
        </w:rPr>
        <w:t>200</w:t>
      </w:r>
      <w:r>
        <w:rPr>
          <w:rFonts w:ascii="Times New Roman" w:hAnsi="Times New Roman" w:eastAsia="仿宋_GB2312"/>
          <w:sz w:val="32"/>
          <w:szCs w:val="32"/>
        </w:rPr>
        <w:t>户</w:t>
      </w:r>
      <w:r>
        <w:rPr>
          <w:rFonts w:hint="eastAsia" w:ascii="Times New Roman" w:hAnsi="Times New Roman" w:eastAsia="仿宋_GB2312"/>
          <w:sz w:val="32"/>
          <w:szCs w:val="32"/>
        </w:rPr>
        <w:t>以上。大力开展“双创”市容秩序整治。</w:t>
      </w:r>
    </w:p>
    <w:p>
      <w:pPr>
        <w:pStyle w:val="10"/>
        <w:spacing w:line="56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2、专项经费：</w:t>
      </w:r>
    </w:p>
    <w:p>
      <w:pPr>
        <w:pStyle w:val="10"/>
        <w:spacing w:line="56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（1）督查考核科分管专项：①背街小巷清扫保洁专项。</w:t>
      </w:r>
      <w:r>
        <w:rPr>
          <w:rFonts w:hint="eastAsia" w:ascii="仿宋_GB2312" w:eastAsia="仿宋_GB2312"/>
          <w:sz w:val="32"/>
          <w:szCs w:val="32"/>
        </w:rPr>
        <w:t>推行“五无五净”标准向背街小巷延伸。参照环卫18小时、9小时保洁制度，深化道路街巷清洗、房前屋后清扫、公共设施清洁、生活垃圾清理“四清”举措，让街净巷洁成为常态；每月开展住宅小区及背街小巷市容环境专项治理，全面落实有物业管理小区物业公司环境卫生负主责和无物业管理小区街道社区环境卫生负主责，清理“牛皮癣”、卫生死角，整治乱贴乱画、乱扔乱倒、乱拉乱设、乱堆杂物、损毁绿化等现象；坚持每周末（节假日前）开展“全民卫生大扫除”活动，广泛发动督促辖区企事业单位、物业公司、门店及相关作业单位自行开展清扫保洁，确保小区内外干净整洁；</w:t>
      </w:r>
      <w:r>
        <w:rPr>
          <w:rFonts w:hint="eastAsia" w:ascii="Times New Roman" w:hAnsi="Times New Roman" w:eastAsia="仿宋_GB2312" w:cs="仿宋_GB2312"/>
          <w:kern w:val="0"/>
          <w:sz w:val="32"/>
          <w:szCs w:val="32"/>
        </w:rPr>
        <w:t>②协管员队伍建设专项。加强协管员队伍管理，规范协管员的招聘、使用和管理工作，充分发挥协管员在城市管理工作中的作用，提高工作效能，保障协管员的合法权益。目标完成协管员集中轮训2次，全员体检1次，及时拨付协管员工资，协助缴纳保险，做好部分协管员办理退休。</w:t>
      </w:r>
    </w:p>
    <w:p>
      <w:pPr>
        <w:spacing w:line="560" w:lineRule="exact"/>
        <w:ind w:firstLine="640" w:firstLineChars="200"/>
        <w:outlineLvl w:val="0"/>
        <w:rPr>
          <w:rFonts w:ascii="仿宋_GB2312" w:hAnsi="仿宋_GB2312" w:cs="仿宋_GB2312"/>
          <w:bCs/>
          <w:color w:val="000000"/>
          <w:szCs w:val="22"/>
        </w:rPr>
      </w:pPr>
      <w:r>
        <w:rPr>
          <w:rFonts w:hint="eastAsia" w:cs="仿宋_GB2312"/>
          <w:kern w:val="0"/>
          <w:sz w:val="32"/>
          <w:szCs w:val="32"/>
        </w:rPr>
        <w:t>（2）垃圾分类专项经费：根据《长沙市2021年生活垃圾分类工作方案》（长政办函﹝2021﹞42号）要求，结合我区实际，设立了2021年全区厨余垃圾（含餐厨垃圾）收运处理量占进入市第一垃圾中转场（含厨余垃圾厂）及餐厨垃圾厂的生活垃圾总量比值不低于21%，可回收物占本区生活垃圾总量比例不低于19%。进一步完善生活垃圾分类投放、分类收集、分类运输、分类处理体系，提升装修垃圾、大件垃圾无害化处置和资源化利用水平的目标。</w:t>
      </w:r>
    </w:p>
    <w:p>
      <w:pPr>
        <w:spacing w:line="560" w:lineRule="exact"/>
        <w:ind w:firstLine="640" w:firstLineChars="200"/>
        <w:outlineLvl w:val="0"/>
        <w:rPr>
          <w:rFonts w:cs="仿宋_GB2312"/>
          <w:kern w:val="0"/>
          <w:sz w:val="32"/>
          <w:szCs w:val="32"/>
        </w:rPr>
      </w:pPr>
      <w:r>
        <w:rPr>
          <w:rFonts w:hint="eastAsia" w:cs="仿宋_GB2312"/>
          <w:kern w:val="0"/>
          <w:sz w:val="32"/>
          <w:szCs w:val="32"/>
        </w:rPr>
        <w:t>（3）油烟在线检测系统项目经费和维护经费：目标完成706家餐饮企业油烟在线监测的维护，对外包公司制订《开福区餐饮油烟在线监测维护管理工作考核办法》，坚持公开、公平、公正的原则，强化数据监测、结果导向，以定期巡查、数据统计、故障处置等为依据，按照考核标准对考核内容、监测数据等定期组织考核，依据考核结果拨付资金。</w:t>
      </w:r>
    </w:p>
    <w:p>
      <w:pPr>
        <w:pStyle w:val="10"/>
        <w:spacing w:line="560" w:lineRule="exact"/>
        <w:ind w:firstLineChars="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（4）城管系统考核经费：补充各部门城管相关工作经费不足部分。目标资金能补充解决3个以上部门的工作经费。</w:t>
      </w:r>
    </w:p>
    <w:p>
      <w:pPr>
        <w:pStyle w:val="10"/>
        <w:spacing w:line="56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（5）两违防控、应急等专项城管问题二级采集劳务外包经费:</w:t>
      </w:r>
      <w:r>
        <w:rPr>
          <w:rFonts w:hint="eastAsia" w:ascii="Times New Roman" w:hAnsi="Times New Roman" w:eastAsia="仿宋_GB2312"/>
          <w:sz w:val="32"/>
          <w:szCs w:val="32"/>
        </w:rPr>
        <w:t>主要分为日常采集、专项采集、应急采集。日常采集是采集人员全年365天按照规定采集时段对采集范围进行巡查采集； 专项采集根据采购方要求和具体工作需求，不受采集时间、内容和范围的限制对指定区域、特定时段的特定问题进行专项采集，应急采集主要是应对突发情况或重大任务事项开展的临时性又非常重要的采集。2021年预算数为70万，实际聘请专业信息采集公司费用合同金额为69.8万元，项目从2021年5月6日开始，2021年实际验收5月至10月共6个月，实际支付金额：34.61万元。上报案卷8709条</w:t>
      </w:r>
      <w:r>
        <w:rPr>
          <w:rFonts w:hint="eastAsia" w:ascii="Times New Roman" w:hAnsi="Times New Roman" w:eastAsia="仿宋_GB2312" w:cs="仿宋_GB2312"/>
          <w:kern w:val="0"/>
          <w:sz w:val="32"/>
          <w:szCs w:val="32"/>
        </w:rPr>
        <w:t>。</w:t>
      </w:r>
    </w:p>
    <w:p>
      <w:pPr>
        <w:pStyle w:val="10"/>
        <w:spacing w:line="560" w:lineRule="exact"/>
        <w:ind w:firstLineChars="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（6）区公共专项：该经费为分管副区长分配，用于各部门弥补城管工作方面经费的不足。该项包含了城管拆违建设经费和城管设备采购专项，城管拆违建设经费预算为285万元；城管设备采购专项预算为300万元。</w:t>
      </w:r>
    </w:p>
    <w:p>
      <w:pPr>
        <w:numPr>
          <w:ilvl w:val="0"/>
          <w:numId w:val="1"/>
        </w:numPr>
        <w:spacing w:line="560" w:lineRule="exact"/>
        <w:rPr>
          <w:rFonts w:eastAsia="楷体_GB2312"/>
          <w:bCs/>
          <w:sz w:val="32"/>
          <w:szCs w:val="32"/>
        </w:rPr>
      </w:pPr>
      <w:r>
        <w:rPr>
          <w:rFonts w:eastAsia="楷体_GB2312"/>
          <w:bCs/>
          <w:sz w:val="32"/>
          <w:szCs w:val="32"/>
        </w:rPr>
        <w:t>资金使用管理情况</w:t>
      </w:r>
    </w:p>
    <w:p>
      <w:pPr>
        <w:spacing w:line="560" w:lineRule="exact"/>
        <w:ind w:firstLine="640" w:firstLineChars="200"/>
        <w:rPr>
          <w:rFonts w:eastAsia="黑体"/>
          <w:sz w:val="32"/>
          <w:szCs w:val="32"/>
        </w:rPr>
      </w:pPr>
      <w:r>
        <w:rPr>
          <w:rFonts w:hint="eastAsia"/>
          <w:sz w:val="32"/>
          <w:szCs w:val="32"/>
        </w:rPr>
        <w:t>我局专门制定了《财政专项资金管理办法》，资金使用过程严格依据该项办法进行资金管理，后期通过内控、审计督促资金使用的规范性。</w:t>
      </w:r>
    </w:p>
    <w:p>
      <w:pPr>
        <w:spacing w:line="560" w:lineRule="exact"/>
        <w:ind w:firstLine="640" w:firstLineChars="200"/>
        <w:rPr>
          <w:rFonts w:eastAsia="黑体"/>
          <w:sz w:val="32"/>
          <w:szCs w:val="32"/>
        </w:rPr>
      </w:pPr>
      <w:r>
        <w:rPr>
          <w:rFonts w:hint="eastAsia" w:eastAsia="黑体"/>
          <w:sz w:val="32"/>
          <w:szCs w:val="32"/>
        </w:rPr>
        <w:t>二、</w:t>
      </w:r>
      <w:r>
        <w:rPr>
          <w:rFonts w:eastAsia="黑体"/>
          <w:sz w:val="32"/>
          <w:szCs w:val="32"/>
        </w:rPr>
        <w:t>绩效评价工作情况</w:t>
      </w:r>
    </w:p>
    <w:p>
      <w:pPr>
        <w:spacing w:line="560" w:lineRule="exact"/>
        <w:ind w:firstLine="640" w:firstLineChars="200"/>
        <w:rPr>
          <w:sz w:val="32"/>
          <w:szCs w:val="32"/>
        </w:rPr>
      </w:pPr>
      <w:r>
        <w:rPr>
          <w:rFonts w:hint="eastAsia"/>
          <w:sz w:val="32"/>
          <w:szCs w:val="32"/>
        </w:rPr>
        <w:t>我局在申报年初预算时，同步进行各专项绩效目标填报，设定各类业务全年绩效目标，并于每个季度进行各专项资金使用情况汇总，监控资金是否按计划支出。</w:t>
      </w:r>
    </w:p>
    <w:p>
      <w:pPr>
        <w:numPr>
          <w:ilvl w:val="0"/>
          <w:numId w:val="2"/>
        </w:numPr>
        <w:spacing w:line="560" w:lineRule="exact"/>
        <w:rPr>
          <w:rFonts w:eastAsia="黑体"/>
          <w:sz w:val="32"/>
          <w:szCs w:val="32"/>
        </w:rPr>
      </w:pPr>
      <w:r>
        <w:rPr>
          <w:rFonts w:hint="eastAsia" w:eastAsia="黑体"/>
          <w:sz w:val="32"/>
          <w:szCs w:val="32"/>
        </w:rPr>
        <w:t>项目支出</w:t>
      </w:r>
      <w:r>
        <w:rPr>
          <w:rFonts w:eastAsia="黑体"/>
          <w:sz w:val="32"/>
          <w:szCs w:val="32"/>
        </w:rPr>
        <w:t>主要绩效</w:t>
      </w:r>
    </w:p>
    <w:p>
      <w:pPr>
        <w:spacing w:line="560" w:lineRule="exact"/>
        <w:ind w:firstLine="640" w:firstLineChars="200"/>
        <w:rPr>
          <w:rFonts w:cs="仿宋_GB2312"/>
          <w:kern w:val="0"/>
          <w:sz w:val="32"/>
          <w:szCs w:val="32"/>
        </w:rPr>
      </w:pPr>
      <w:r>
        <w:rPr>
          <w:rFonts w:hint="eastAsia" w:cs="仿宋_GB2312"/>
          <w:kern w:val="0"/>
          <w:sz w:val="32"/>
          <w:szCs w:val="32"/>
        </w:rPr>
        <w:t>1、业务性经费：</w:t>
      </w:r>
      <w:r>
        <w:rPr>
          <w:rFonts w:hint="eastAsia"/>
          <w:sz w:val="32"/>
          <w:szCs w:val="32"/>
        </w:rPr>
        <w:t>高效办</w:t>
      </w:r>
      <w:r>
        <w:rPr>
          <w:rFonts w:hint="eastAsia" w:cs="仿宋_GB2312"/>
          <w:kern w:val="0"/>
          <w:sz w:val="32"/>
          <w:szCs w:val="32"/>
        </w:rPr>
        <w:t>理行政审批事项1257件，将临时占用城市绿地（不含公园）、临时占用挖掘城市道路等审批事项分别下放至金霞、马栏山园区，将临时占用街道两侧及公共场地、门店招牌设置管理事项前移至社区受理，打通服务群众“最后一公里”。高标准保障大型活动。全力做好全市重点项目集中开工活动、建党100周年、区第六次党代会、区人大政协“两会”等60余次重大活动期间的市容秩序管控和卫生保洁，以绣花功夫绘就幸福之城的洁净底色。高成效助力项目拆迁腾地。完成区政</w:t>
      </w:r>
      <w:r>
        <w:rPr>
          <w:rFonts w:cs="仿宋_GB2312"/>
          <w:kern w:val="0"/>
          <w:sz w:val="32"/>
          <w:szCs w:val="32"/>
        </w:rPr>
        <w:t>府交办裁执分离案件28起，组织强制执行行动33次，促进各项目签协议236户，四方坪丝矛冲一期，黄兴北路片区花鸟虫鱼项目、天祥日杂</w:t>
      </w:r>
      <w:r>
        <w:rPr>
          <w:rFonts w:hint="eastAsia" w:cs="仿宋_GB2312"/>
          <w:kern w:val="0"/>
          <w:sz w:val="32"/>
          <w:szCs w:val="32"/>
        </w:rPr>
        <w:t>项目和火车北站片区神箭花苑项目全部清零。</w:t>
      </w:r>
      <w:r>
        <w:rPr>
          <w:rFonts w:cs="仿宋_GB2312"/>
          <w:kern w:val="0"/>
          <w:sz w:val="32"/>
          <w:szCs w:val="32"/>
        </w:rPr>
        <w:t>关闭西长街水产市场，</w:t>
      </w:r>
      <w:r>
        <w:rPr>
          <w:rFonts w:hint="eastAsia" w:cs="仿宋_GB2312"/>
          <w:kern w:val="0"/>
          <w:sz w:val="32"/>
          <w:szCs w:val="32"/>
        </w:rPr>
        <w:t>全力整治广告招牌，</w:t>
      </w:r>
      <w:r>
        <w:rPr>
          <w:rFonts w:cs="仿宋_GB2312"/>
          <w:kern w:val="0"/>
          <w:sz w:val="32"/>
          <w:szCs w:val="32"/>
        </w:rPr>
        <w:t>实施两厢融合，让曾经的“脏乱差”水产活禽市场华丽转身</w:t>
      </w:r>
      <w:r>
        <w:rPr>
          <w:rFonts w:hint="eastAsia" w:cs="仿宋_GB2312"/>
          <w:kern w:val="0"/>
          <w:sz w:val="32"/>
          <w:szCs w:val="32"/>
        </w:rPr>
        <w:t>。大力开展“双创”市容秩序整治。加强流动摊贩、门前三包、广告牛皮癣、机动车乱停乱放、垃圾堆物等市容乱象整治，整治市容问题2497个、罚款17万余元；严格管控餐厨垃圾流向，办理违法收运餐厨垃圾案件145起，罚款13万余元，助力双创工作创先争优。用心用情用力解决群众急难愁盼问题。高标准完成市一医院周边、长沙市一中周边市容环境整治等7项为民办实事项目，发放便民服务卡2000余张，处置12345热线群众关心问题8187件、城管“110”群众投诉问题5209个、网络舆情16件，排查舆情风险点24条、意识形态问题12处，办理人大建议政协提案12件。城市管理各类先进经验和典型在省、市等主流媒体宣传报道40余次。</w:t>
      </w:r>
    </w:p>
    <w:p>
      <w:pPr>
        <w:pStyle w:val="10"/>
        <w:spacing w:line="560" w:lineRule="exact"/>
        <w:ind w:left="640" w:firstLine="0" w:firstLineChars="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2、专项经费：</w:t>
      </w:r>
    </w:p>
    <w:p>
      <w:pPr>
        <w:pStyle w:val="10"/>
        <w:spacing w:line="560" w:lineRule="exact"/>
        <w:ind w:firstLineChars="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督查考核科分管专项：各街道调动辖区单位、物业、门店的积极性，全区共发动发动企（事）业单位267个，物业楼盘440个，志愿者服务组织30余家，党员和居民志愿者13万余人次参与行动。区城管执法大队联合各街道、社区，将倡议书发放到每个单位、每个小区、每个家庭、每个门店，形成卫生环境人人有责、精美开福人人受益的思想共识。省市各类主流媒体报道我区“百日奋战 扮靓星城”市容环境整治工作363次，东风路、芙蓉北路、伍家岭、清水塘、青竹湖街道均上稿30余篇。抓实“城市窗口”洁净、“洁净家园”创建、“裸露垃圾”歼灭三大行动，地毯式推进主次干道、城市家具、沿街立面清洗，提升“城市窗口”洁净度；落实“门前三包”责任制，发动督促单位、门店、物业公司等清扫清理公共区域，确保街巷、小区整洁干净、秩序井然；整治大件垃圾、装修垃圾暂存点问题256处，拆除露天垃圾围池20个，清理围而未建地块裸露垃圾120处，清运其各类垃圾174492吨。狠抓施工围挡、广告招牌、违法停车、路灯照明四大整治，对行政许可手续超期、设置不规范、面板不洁等340处施工围挡开展专项整治；拆除三一大道、车站北路、芙蓉中路、湘雅路等污损、破损和违规导视招牌118处；摸排清理“僵尸车”690辆，清理违停共享单车127513辆；交办路灯整改问题20条，修复整改路灯40处；区城管执法大队共办理门前三包、店外经营、流动摊贩、渣土、垃圾分类等案件1564起，罚款104.59万元。</w:t>
      </w:r>
    </w:p>
    <w:p>
      <w:pPr>
        <w:spacing w:line="560" w:lineRule="exact"/>
        <w:ind w:firstLine="480" w:firstLineChars="150"/>
        <w:outlineLvl w:val="0"/>
        <w:rPr>
          <w:rFonts w:ascii="仿宋_GB2312" w:hAnsi="仿宋_GB2312" w:cs="仿宋_GB2312"/>
          <w:bCs/>
          <w:color w:val="000000"/>
          <w:szCs w:val="22"/>
        </w:rPr>
      </w:pPr>
      <w:r>
        <w:rPr>
          <w:rFonts w:hint="eastAsia" w:cs="仿宋_GB2312"/>
          <w:kern w:val="0"/>
          <w:sz w:val="32"/>
          <w:szCs w:val="32"/>
        </w:rPr>
        <w:t>（2）垃圾分类专项经费：根据《长沙市2021年生活垃圾分类工作方案》（长政办函﹝2021﹞42号）要求，结合我区实际，设立了2021年全区厨余垃圾（含餐厨垃圾）收运处理量占进入市第一垃圾中转场（含厨余垃圾厂）及餐厨垃圾厂的生活垃圾总量比值不低于21%，可回收物占本区生活垃圾总量比例不低于19%。进一步完善生活垃圾分类投放、分类收集、分类运输、分类处理体系，提升装修垃圾、大件垃圾无害化处置和资源化利用水平的目标。</w:t>
      </w:r>
    </w:p>
    <w:p>
      <w:pPr>
        <w:spacing w:line="560" w:lineRule="exact"/>
        <w:ind w:firstLine="640" w:firstLineChars="200"/>
        <w:outlineLvl w:val="0"/>
        <w:rPr>
          <w:rFonts w:cs="仿宋_GB2312"/>
          <w:kern w:val="0"/>
          <w:sz w:val="32"/>
          <w:szCs w:val="32"/>
        </w:rPr>
      </w:pPr>
      <w:r>
        <w:rPr>
          <w:rFonts w:hint="eastAsia" w:cs="仿宋_GB2312"/>
          <w:kern w:val="0"/>
          <w:sz w:val="32"/>
          <w:szCs w:val="32"/>
        </w:rPr>
        <w:t>（3）油烟在线检测系统项目经费和维护经费：完成了706家餐饮企业油烟在线监测的维护。</w:t>
      </w:r>
    </w:p>
    <w:p>
      <w:pPr>
        <w:pStyle w:val="10"/>
        <w:spacing w:line="560" w:lineRule="exact"/>
        <w:ind w:firstLineChars="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（4）城管系统考核经费：该项经费据实用于城管工作经费的补充分配给城管局、月湖街道、城管大队、城管公安共计44.78万元。</w:t>
      </w:r>
    </w:p>
    <w:p>
      <w:pPr>
        <w:pStyle w:val="10"/>
        <w:spacing w:line="560" w:lineRule="exact"/>
        <w:ind w:firstLine="640" w:firstLineChars="200"/>
        <w:rPr>
          <w:rFonts w:ascii="Times New Roman" w:hAnsi="Times New Roman" w:eastAsia="仿宋_GB2312" w:cs="仿宋_GB2312"/>
          <w:kern w:val="0"/>
          <w:sz w:val="32"/>
          <w:szCs w:val="32"/>
        </w:rPr>
      </w:pPr>
      <w:r>
        <w:rPr>
          <w:rFonts w:hint="eastAsia" w:ascii="仿宋_GB2312" w:hAnsi="仿宋_GB2312" w:eastAsia="仿宋_GB2312" w:cs="仿宋_GB2312"/>
          <w:sz w:val="32"/>
          <w:szCs w:val="32"/>
        </w:rPr>
        <w:t>（5）两违防控、应急等专项城管问题二级采集劳务外包经费:常采集是采集人员全年365天按照规定采集时段对采集范围进行巡查采集；专项采集根据采购方要求和具体工作需求，不受采集时间、内容和范围的限制对指定区域、特定时段的特定问题进行专项采集，应急采集主要是应对突发情况或重大任务事项开展的临时性又非常重要的采集。目标总计</w:t>
      </w:r>
      <w:r>
        <w:rPr>
          <w:rFonts w:hint="eastAsia" w:ascii="Times New Roman" w:hAnsi="Times New Roman" w:eastAsia="仿宋_GB2312"/>
          <w:sz w:val="32"/>
          <w:szCs w:val="32"/>
        </w:rPr>
        <w:t>上报案卷6000条以上</w:t>
      </w:r>
      <w:r>
        <w:rPr>
          <w:rFonts w:hint="eastAsia" w:ascii="Times New Roman" w:hAnsi="Times New Roman" w:eastAsia="仿宋_GB2312" w:cs="仿宋_GB2312"/>
          <w:kern w:val="0"/>
          <w:sz w:val="32"/>
          <w:szCs w:val="32"/>
        </w:rPr>
        <w:t>。</w:t>
      </w:r>
    </w:p>
    <w:p>
      <w:pPr>
        <w:pStyle w:val="10"/>
        <w:spacing w:line="560" w:lineRule="exact"/>
        <w:ind w:firstLineChars="0"/>
        <w:rPr>
          <w:rFonts w:ascii="Times New Roman" w:hAnsi="Times New Roman" w:eastAsia="仿宋_GB2312" w:cs="仿宋_GB2312"/>
          <w:kern w:val="0"/>
          <w:sz w:val="32"/>
          <w:szCs w:val="32"/>
        </w:rPr>
      </w:pPr>
      <w:r>
        <w:rPr>
          <w:rFonts w:hint="eastAsia" w:ascii="仿宋_GB2312" w:hAnsi="仿宋_GB2312" w:eastAsia="仿宋_GB2312" w:cs="仿宋_GB2312"/>
          <w:sz w:val="32"/>
          <w:szCs w:val="32"/>
        </w:rPr>
        <w:t>（6）区公共专项：</w:t>
      </w:r>
      <w:r>
        <w:rPr>
          <w:rFonts w:hint="eastAsia" w:ascii="Times New Roman" w:hAnsi="Times New Roman" w:eastAsia="仿宋_GB2312" w:cs="仿宋_GB2312"/>
          <w:kern w:val="0"/>
          <w:sz w:val="32"/>
          <w:szCs w:val="32"/>
        </w:rPr>
        <w:t>该项包含了城管拆违建设经费和城管设备采购专项，城管拆违建设经费预算为285万元，2021年使用285万元；城管设备采购专项预算为300万元，2021年使用133万元。</w:t>
      </w:r>
    </w:p>
    <w:p>
      <w:pPr>
        <w:spacing w:line="560" w:lineRule="exact"/>
        <w:ind w:firstLine="640" w:firstLineChars="200"/>
        <w:rPr>
          <w:rFonts w:eastAsia="黑体"/>
          <w:sz w:val="32"/>
          <w:szCs w:val="32"/>
        </w:rPr>
      </w:pPr>
      <w:r>
        <w:rPr>
          <w:rFonts w:eastAsia="黑体"/>
          <w:sz w:val="32"/>
          <w:szCs w:val="32"/>
        </w:rPr>
        <w:t>四、存在的问题</w:t>
      </w:r>
      <w:r>
        <w:rPr>
          <w:rFonts w:hint="eastAsia" w:eastAsia="黑体"/>
          <w:sz w:val="32"/>
          <w:szCs w:val="32"/>
        </w:rPr>
        <w:t>：</w:t>
      </w:r>
    </w:p>
    <w:p>
      <w:pPr>
        <w:pStyle w:val="3"/>
        <w:ind w:firstLine="640" w:firstLineChars="200"/>
        <w:jc w:val="left"/>
        <w:rPr>
          <w:rFonts w:ascii="仿宋_GB2312" w:hAnsi="仿宋_GB2312" w:cs="仿宋_GB2312"/>
          <w:sz w:val="32"/>
          <w:szCs w:val="32"/>
        </w:rPr>
      </w:pPr>
      <w:r>
        <w:rPr>
          <w:rFonts w:hint="eastAsia" w:ascii="仿宋_GB2312" w:hAnsi="仿宋_GB2312" w:cs="仿宋_GB2312"/>
          <w:sz w:val="32"/>
          <w:szCs w:val="32"/>
        </w:rPr>
        <w:t>垃圾分类撤桶并点工作推进还需进一步加强。2021年，全市推进垃圾分类厢房建设，逐步向实现定时定点投放过渡。我区已通过市垃分办验收厢房100个，但部分小区还未真正实现撤桶并点，厢房管理未同步跟上，实际运行效果还有待提升；分类体系还需进一步完善。四分类体系建设是垃圾分类工作的重要内容，目前各街道有害垃圾集中转运点普遍不够规范、缺乏符合要求的可回收物分拣中心，可回收物、有害垃圾收运体系尚未完全建成，数据资料可靠性不强，成为制约垃圾分类工作提升的短板；整体社会氛围还未完全形成。需要政府各级各部门企事业单位以及全体社会公民大力支持、协同配合，加强宣传引导、教育培训和以身作责，逐步培育居民分类习惯养成。目前，大部分居民对垃圾分类工作还未主动参与，存在情感上认同、行动上没有实行的状态，垃圾分类的参与率、准确率均需进一步加强。</w:t>
      </w:r>
    </w:p>
    <w:p>
      <w:pPr>
        <w:spacing w:line="560" w:lineRule="exact"/>
        <w:ind w:firstLine="640" w:firstLineChars="200"/>
        <w:rPr>
          <w:rFonts w:eastAsia="黑体"/>
          <w:sz w:val="32"/>
          <w:szCs w:val="32"/>
        </w:rPr>
      </w:pPr>
      <w:r>
        <w:rPr>
          <w:rFonts w:eastAsia="黑体"/>
          <w:sz w:val="32"/>
          <w:szCs w:val="32"/>
        </w:rPr>
        <w:t>五、有关建议</w:t>
      </w:r>
    </w:p>
    <w:p>
      <w:pPr>
        <w:pStyle w:val="3"/>
        <w:ind w:firstLine="640" w:firstLineChars="200"/>
        <w:jc w:val="left"/>
        <w:rPr>
          <w:rFonts w:ascii="仿宋_GB2312" w:hAnsi="仿宋_GB2312" w:cs="仿宋_GB2312"/>
          <w:sz w:val="32"/>
          <w:szCs w:val="32"/>
        </w:rPr>
      </w:pPr>
      <w:r>
        <w:rPr>
          <w:rFonts w:hint="eastAsia" w:ascii="仿宋_GB2312" w:hAnsi="仿宋_GB2312" w:cs="仿宋_GB2312"/>
          <w:sz w:val="32"/>
          <w:szCs w:val="32"/>
        </w:rPr>
        <w:t>1、目前，我区垃圾分类工作总体框架已经构建，从前端分类到末端处置的环节基本贯通，但居民源头分类还需强化宣传引导及日常管理，不断提升居民参与率、分类准确率。对下步工作建议如下：强化资金支持。目前，垃圾分类工作依然处于打基础阶段，无论是设施建设、分类收运，还是引导居民参与等，仍需大量资金投入。建议加大资金保障力度，支持生活垃圾分类系统建设项目及运营，助力工作成效提升。持续开展宣传引导。组织开展形式多样的宣传活动，提高全社会生活垃圾分类意识，调动民众参与热情。通过入户宣传、常识培训、疑难解答、集体观摩等形式，以各街道、社区为单位，作为推动生活垃圾分类的主战场，进行专业的宣传培训，从而让垃圾分类理念和常识走进千家万户，引导居民群众化被动为主动，逐步养成生活垃圾分类的文明习惯。 着力补齐短板。认真梳理本辖区分类投放点位管理、分类厢房建设等情况，梳理收运工作中存在的不足，通过严格点位管理、强化分类厢房建设、规范收运流程等方法，深入挖掘居民家庭厨余垃圾增量，确保完成新年度绩效考核任务。</w:t>
      </w:r>
    </w:p>
    <w:p>
      <w:pPr>
        <w:spacing w:line="560" w:lineRule="exact"/>
        <w:ind w:firstLine="640" w:firstLineChars="200"/>
        <w:outlineLvl w:val="0"/>
        <w:rPr>
          <w:rFonts w:ascii="仿宋_GB2312" w:hAnsi="仿宋_GB2312" w:cs="仿宋_GB2312"/>
          <w:sz w:val="32"/>
          <w:szCs w:val="32"/>
        </w:rPr>
      </w:pPr>
      <w:r>
        <w:rPr>
          <w:rFonts w:hint="eastAsia" w:ascii="仿宋_GB2312" w:hAnsi="仿宋_GB2312" w:cs="仿宋_GB2312"/>
          <w:sz w:val="32"/>
          <w:szCs w:val="32"/>
        </w:rPr>
        <w:t>2、随着我区城市发展进程加快，需纳入清扫保洁范围的道路、街巷增加迅速，经各街道自主测量，全区背街小巷清扫保洁面积（不含马栏山文创园）新增1527268.1平方米，减少138506.1平方米，全区背街小巷清扫保洁面积由6286254.5平方米增加至7675016.51平方米（较2019年增加了1388762.04平方米）。另外，近年来人工、材料等成本上涨幅度较大，原用清扫保洁单价已不适用现有清扫保洁标准和要求，需要考虑重新核面并适当调增。</w:t>
      </w:r>
    </w:p>
    <w:p>
      <w:pPr>
        <w:pStyle w:val="3"/>
        <w:ind w:firstLine="640" w:firstLineChars="200"/>
        <w:jc w:val="left"/>
        <w:rPr>
          <w:rFonts w:ascii="仿宋_GB2312" w:hAnsi="仿宋_GB2312" w:cs="仿宋_GB2312"/>
          <w:sz w:val="32"/>
          <w:szCs w:val="32"/>
        </w:rPr>
      </w:pPr>
    </w:p>
    <w:p>
      <w:pPr>
        <w:spacing w:line="560" w:lineRule="exact"/>
        <w:ind w:firstLine="640" w:firstLineChars="200"/>
        <w:rPr>
          <w:rFonts w:eastAsia="黑体"/>
          <w:sz w:val="32"/>
          <w:szCs w:val="32"/>
        </w:rPr>
      </w:pPr>
      <w:r>
        <w:rPr>
          <w:rFonts w:eastAsia="黑体"/>
          <w:sz w:val="32"/>
          <w:szCs w:val="32"/>
        </w:rPr>
        <w:t>六、其他需要说明的问题</w:t>
      </w:r>
    </w:p>
    <w:p>
      <w:pPr>
        <w:adjustRightInd w:val="0"/>
        <w:snapToGrid w:val="0"/>
        <w:spacing w:line="560" w:lineRule="exact"/>
        <w:rPr>
          <w:rFonts w:ascii="仿宋_GB2312"/>
          <w:szCs w:val="28"/>
        </w:rPr>
      </w:pPr>
      <w:r>
        <w:rPr>
          <w:rFonts w:hint="eastAsia" w:ascii="仿宋_GB2312"/>
          <w:szCs w:val="28"/>
        </w:rPr>
        <w:t xml:space="preserve">       无</w:t>
      </w:r>
    </w:p>
    <w:sectPr>
      <w:headerReference r:id="rId3" w:type="default"/>
      <w:footerReference r:id="rId4" w:type="default"/>
      <w:footerReference r:id="rId5"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5"/>
                              <w:sz w:val="28"/>
                              <w:szCs w:val="28"/>
                            </w:rPr>
                          </w:pPr>
                          <w:r>
                            <w:rPr>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23</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efv8kBAACZAwAADgAAAGRycy9lMm9Eb2MueG1srVPNjtMwEL4j8Q6W&#10;79Rph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J5+/yQEAAJkDAAAOAAAAAAAAAAEAIAAAAB4BAABkcnMvZTJvRG9j&#10;LnhtbFBLBQYAAAAABgAGAFkBAABZBQAAAAA=&#10;">
              <v:fill on="f" focussize="0,0"/>
              <v:stroke on="f"/>
              <v:imagedata o:title=""/>
              <o:lock v:ext="edit" aspectratio="f"/>
              <v:textbox inset="0mm,0mm,0mm,0mm" style="mso-fit-shape-to-text:t;">
                <w:txbxContent>
                  <w:p>
                    <w:pPr>
                      <w:pStyle w:val="6"/>
                      <w:rPr>
                        <w:rStyle w:val="15"/>
                        <w:sz w:val="28"/>
                        <w:szCs w:val="28"/>
                      </w:rPr>
                    </w:pPr>
                    <w:r>
                      <w:rPr>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23</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g0c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BuDRyQEAAJkDAAAOAAAAAAAAAAEAIAAAAB4BAABkcnMvZTJvRG9j&#10;LnhtbFBLBQYAAAAABgAGAFkBAABZBQAAAAA=&#10;">
              <v:fill on="f" focussize="0,0"/>
              <v:stroke on="f"/>
              <v:imagedata o:title=""/>
              <o:lock v:ext="edit" aspectratio="f"/>
              <v:textbox inset="0mm,0mm,0mm,0mm" style="mso-fit-shape-to-text:t;">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5"/>
  <w:drawingGridHorizontalSpacing w:val="126"/>
  <w:drawingGridVerticalSpacing w:val="381"/>
  <w:noPunctuationKerning w:val="1"/>
  <w:characterSpacingControl w:val="compressPunctuation"/>
  <w:hdrShapeDefaults>
    <o:shapelayout v:ext="edit">
      <o:idmap v:ext="edit" data="3"/>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I0Yzk1ZWE5ZWI2MTlkNzYzNDJlMmMzOGFiNDAifQ=="/>
  </w:docVars>
  <w:rsids>
    <w:rsidRoot w:val="00E36BCE"/>
    <w:rsid w:val="00003168"/>
    <w:rsid w:val="000041FC"/>
    <w:rsid w:val="000059CE"/>
    <w:rsid w:val="00006AE5"/>
    <w:rsid w:val="0002700C"/>
    <w:rsid w:val="000559D2"/>
    <w:rsid w:val="00077AFA"/>
    <w:rsid w:val="00081B84"/>
    <w:rsid w:val="0008298F"/>
    <w:rsid w:val="00084A3F"/>
    <w:rsid w:val="00091C09"/>
    <w:rsid w:val="000A18C5"/>
    <w:rsid w:val="000B5226"/>
    <w:rsid w:val="000C4EF8"/>
    <w:rsid w:val="000D50ED"/>
    <w:rsid w:val="000E3D35"/>
    <w:rsid w:val="000F41BE"/>
    <w:rsid w:val="000F5802"/>
    <w:rsid w:val="000F5F6B"/>
    <w:rsid w:val="000F7098"/>
    <w:rsid w:val="001071BD"/>
    <w:rsid w:val="001244CC"/>
    <w:rsid w:val="00142730"/>
    <w:rsid w:val="001473EE"/>
    <w:rsid w:val="00150719"/>
    <w:rsid w:val="00152265"/>
    <w:rsid w:val="00155347"/>
    <w:rsid w:val="0016058D"/>
    <w:rsid w:val="00164C67"/>
    <w:rsid w:val="00175F3D"/>
    <w:rsid w:val="00186D94"/>
    <w:rsid w:val="00186F30"/>
    <w:rsid w:val="001900D7"/>
    <w:rsid w:val="001C25CF"/>
    <w:rsid w:val="001C3BEB"/>
    <w:rsid w:val="001C3D40"/>
    <w:rsid w:val="001C6467"/>
    <w:rsid w:val="001D61E2"/>
    <w:rsid w:val="001E095F"/>
    <w:rsid w:val="001F26F5"/>
    <w:rsid w:val="001F6259"/>
    <w:rsid w:val="001F7EDD"/>
    <w:rsid w:val="0021283C"/>
    <w:rsid w:val="00214B79"/>
    <w:rsid w:val="00214FCE"/>
    <w:rsid w:val="0021663C"/>
    <w:rsid w:val="00231082"/>
    <w:rsid w:val="0023139E"/>
    <w:rsid w:val="00240BE3"/>
    <w:rsid w:val="00251250"/>
    <w:rsid w:val="002528BC"/>
    <w:rsid w:val="002713BE"/>
    <w:rsid w:val="002742CD"/>
    <w:rsid w:val="0027455C"/>
    <w:rsid w:val="00295FAC"/>
    <w:rsid w:val="002A3434"/>
    <w:rsid w:val="002A66B8"/>
    <w:rsid w:val="002D1FE9"/>
    <w:rsid w:val="002D4E0E"/>
    <w:rsid w:val="002E55B5"/>
    <w:rsid w:val="002E63D0"/>
    <w:rsid w:val="002F0338"/>
    <w:rsid w:val="002F3A9D"/>
    <w:rsid w:val="002F3F5C"/>
    <w:rsid w:val="00340F98"/>
    <w:rsid w:val="0034191E"/>
    <w:rsid w:val="0034725D"/>
    <w:rsid w:val="00364873"/>
    <w:rsid w:val="00367781"/>
    <w:rsid w:val="0038085B"/>
    <w:rsid w:val="003830F3"/>
    <w:rsid w:val="00395F85"/>
    <w:rsid w:val="003B091D"/>
    <w:rsid w:val="003B1019"/>
    <w:rsid w:val="003C2DC6"/>
    <w:rsid w:val="003C7C83"/>
    <w:rsid w:val="003E1DCC"/>
    <w:rsid w:val="003F12A2"/>
    <w:rsid w:val="003F5135"/>
    <w:rsid w:val="0040664F"/>
    <w:rsid w:val="00407E67"/>
    <w:rsid w:val="00414D38"/>
    <w:rsid w:val="00421491"/>
    <w:rsid w:val="00424A0F"/>
    <w:rsid w:val="00424D34"/>
    <w:rsid w:val="00425543"/>
    <w:rsid w:val="00425706"/>
    <w:rsid w:val="00435F06"/>
    <w:rsid w:val="00437A7E"/>
    <w:rsid w:val="00447640"/>
    <w:rsid w:val="00454D9C"/>
    <w:rsid w:val="00457D8E"/>
    <w:rsid w:val="0046112E"/>
    <w:rsid w:val="004849CC"/>
    <w:rsid w:val="00492B01"/>
    <w:rsid w:val="00495969"/>
    <w:rsid w:val="004A3AF5"/>
    <w:rsid w:val="004B0362"/>
    <w:rsid w:val="004B3179"/>
    <w:rsid w:val="004D4AF3"/>
    <w:rsid w:val="00500E71"/>
    <w:rsid w:val="005111E4"/>
    <w:rsid w:val="005176DC"/>
    <w:rsid w:val="00517C8A"/>
    <w:rsid w:val="0053287F"/>
    <w:rsid w:val="00532AB6"/>
    <w:rsid w:val="00551A51"/>
    <w:rsid w:val="0055450A"/>
    <w:rsid w:val="00561808"/>
    <w:rsid w:val="00576C2F"/>
    <w:rsid w:val="00580005"/>
    <w:rsid w:val="00595D77"/>
    <w:rsid w:val="005975F1"/>
    <w:rsid w:val="005A7B5F"/>
    <w:rsid w:val="005B0DDF"/>
    <w:rsid w:val="005B27A5"/>
    <w:rsid w:val="005B7679"/>
    <w:rsid w:val="005C2A78"/>
    <w:rsid w:val="005C30AD"/>
    <w:rsid w:val="005D2249"/>
    <w:rsid w:val="005D30A4"/>
    <w:rsid w:val="005D64A5"/>
    <w:rsid w:val="005F28EF"/>
    <w:rsid w:val="005F567A"/>
    <w:rsid w:val="005F5910"/>
    <w:rsid w:val="005F7951"/>
    <w:rsid w:val="0060339B"/>
    <w:rsid w:val="006243D0"/>
    <w:rsid w:val="00624AF5"/>
    <w:rsid w:val="00625C36"/>
    <w:rsid w:val="0063086E"/>
    <w:rsid w:val="00636A00"/>
    <w:rsid w:val="00646358"/>
    <w:rsid w:val="0065727B"/>
    <w:rsid w:val="00662033"/>
    <w:rsid w:val="006642D1"/>
    <w:rsid w:val="00680903"/>
    <w:rsid w:val="00683344"/>
    <w:rsid w:val="00690CB3"/>
    <w:rsid w:val="006A3308"/>
    <w:rsid w:val="006B25A7"/>
    <w:rsid w:val="006B3919"/>
    <w:rsid w:val="006C03F2"/>
    <w:rsid w:val="006C55E0"/>
    <w:rsid w:val="006C6F46"/>
    <w:rsid w:val="006D579A"/>
    <w:rsid w:val="006E52C4"/>
    <w:rsid w:val="006E5962"/>
    <w:rsid w:val="006E6C3C"/>
    <w:rsid w:val="006F30A4"/>
    <w:rsid w:val="00714269"/>
    <w:rsid w:val="007170F6"/>
    <w:rsid w:val="00742093"/>
    <w:rsid w:val="00742BB4"/>
    <w:rsid w:val="007451FB"/>
    <w:rsid w:val="007566FE"/>
    <w:rsid w:val="00756C14"/>
    <w:rsid w:val="007578F5"/>
    <w:rsid w:val="00762844"/>
    <w:rsid w:val="00767A61"/>
    <w:rsid w:val="00767A8A"/>
    <w:rsid w:val="0077624C"/>
    <w:rsid w:val="00776AAE"/>
    <w:rsid w:val="00781108"/>
    <w:rsid w:val="00781594"/>
    <w:rsid w:val="00782957"/>
    <w:rsid w:val="0078470A"/>
    <w:rsid w:val="00787688"/>
    <w:rsid w:val="00787AC8"/>
    <w:rsid w:val="007B5066"/>
    <w:rsid w:val="007C6731"/>
    <w:rsid w:val="007F3DD0"/>
    <w:rsid w:val="007F59CA"/>
    <w:rsid w:val="007F5C2A"/>
    <w:rsid w:val="008046EC"/>
    <w:rsid w:val="00807985"/>
    <w:rsid w:val="00815B23"/>
    <w:rsid w:val="0083491F"/>
    <w:rsid w:val="00842578"/>
    <w:rsid w:val="00845BAC"/>
    <w:rsid w:val="00865904"/>
    <w:rsid w:val="00875628"/>
    <w:rsid w:val="0087768D"/>
    <w:rsid w:val="008826CD"/>
    <w:rsid w:val="008878DE"/>
    <w:rsid w:val="00887D42"/>
    <w:rsid w:val="00897C97"/>
    <w:rsid w:val="008A227F"/>
    <w:rsid w:val="008A2344"/>
    <w:rsid w:val="008A48C8"/>
    <w:rsid w:val="008B082D"/>
    <w:rsid w:val="008D0E49"/>
    <w:rsid w:val="008D4EC3"/>
    <w:rsid w:val="008E2D09"/>
    <w:rsid w:val="008F1822"/>
    <w:rsid w:val="008F2749"/>
    <w:rsid w:val="008F46D9"/>
    <w:rsid w:val="0090396E"/>
    <w:rsid w:val="00916EB5"/>
    <w:rsid w:val="00922A40"/>
    <w:rsid w:val="0093794B"/>
    <w:rsid w:val="009500D8"/>
    <w:rsid w:val="009555ED"/>
    <w:rsid w:val="00983349"/>
    <w:rsid w:val="00983F46"/>
    <w:rsid w:val="00994156"/>
    <w:rsid w:val="009A4EFE"/>
    <w:rsid w:val="009B2F46"/>
    <w:rsid w:val="009D0061"/>
    <w:rsid w:val="009D1A74"/>
    <w:rsid w:val="009D4788"/>
    <w:rsid w:val="009E61C2"/>
    <w:rsid w:val="009F5C9D"/>
    <w:rsid w:val="00A049BD"/>
    <w:rsid w:val="00A0736A"/>
    <w:rsid w:val="00A22214"/>
    <w:rsid w:val="00A23BA9"/>
    <w:rsid w:val="00A24F10"/>
    <w:rsid w:val="00A2503C"/>
    <w:rsid w:val="00A25F22"/>
    <w:rsid w:val="00A378B5"/>
    <w:rsid w:val="00A50C6A"/>
    <w:rsid w:val="00A52B39"/>
    <w:rsid w:val="00A65D0D"/>
    <w:rsid w:val="00A7727C"/>
    <w:rsid w:val="00A842CC"/>
    <w:rsid w:val="00A858B4"/>
    <w:rsid w:val="00AA19A3"/>
    <w:rsid w:val="00AA237F"/>
    <w:rsid w:val="00AB0A40"/>
    <w:rsid w:val="00AB0F17"/>
    <w:rsid w:val="00AB2C74"/>
    <w:rsid w:val="00AB70A6"/>
    <w:rsid w:val="00AC75ED"/>
    <w:rsid w:val="00AD3E28"/>
    <w:rsid w:val="00AE5F44"/>
    <w:rsid w:val="00AF3F64"/>
    <w:rsid w:val="00B013C6"/>
    <w:rsid w:val="00B03AD1"/>
    <w:rsid w:val="00B15A82"/>
    <w:rsid w:val="00B228CC"/>
    <w:rsid w:val="00B24DEF"/>
    <w:rsid w:val="00B30B96"/>
    <w:rsid w:val="00B45945"/>
    <w:rsid w:val="00B5043D"/>
    <w:rsid w:val="00B57D56"/>
    <w:rsid w:val="00B65C2C"/>
    <w:rsid w:val="00B670F0"/>
    <w:rsid w:val="00B70C69"/>
    <w:rsid w:val="00B776C0"/>
    <w:rsid w:val="00B82DBE"/>
    <w:rsid w:val="00B8505A"/>
    <w:rsid w:val="00B86D97"/>
    <w:rsid w:val="00B93079"/>
    <w:rsid w:val="00BA03F5"/>
    <w:rsid w:val="00BD0F17"/>
    <w:rsid w:val="00BF3296"/>
    <w:rsid w:val="00C01FEA"/>
    <w:rsid w:val="00C026F3"/>
    <w:rsid w:val="00C312D3"/>
    <w:rsid w:val="00C366CC"/>
    <w:rsid w:val="00C40AFC"/>
    <w:rsid w:val="00C40EAE"/>
    <w:rsid w:val="00C432F9"/>
    <w:rsid w:val="00C45CE2"/>
    <w:rsid w:val="00C462E4"/>
    <w:rsid w:val="00C54236"/>
    <w:rsid w:val="00C82FA5"/>
    <w:rsid w:val="00C94258"/>
    <w:rsid w:val="00CA2DDB"/>
    <w:rsid w:val="00CA78DC"/>
    <w:rsid w:val="00CB11A2"/>
    <w:rsid w:val="00CC5FDA"/>
    <w:rsid w:val="00CD3E7C"/>
    <w:rsid w:val="00CE3A36"/>
    <w:rsid w:val="00D06376"/>
    <w:rsid w:val="00D1176A"/>
    <w:rsid w:val="00D14812"/>
    <w:rsid w:val="00D25D0B"/>
    <w:rsid w:val="00D260EC"/>
    <w:rsid w:val="00D261AD"/>
    <w:rsid w:val="00D373C1"/>
    <w:rsid w:val="00D4054D"/>
    <w:rsid w:val="00D549B5"/>
    <w:rsid w:val="00D57CE3"/>
    <w:rsid w:val="00D762D3"/>
    <w:rsid w:val="00D90BB7"/>
    <w:rsid w:val="00DA3A0D"/>
    <w:rsid w:val="00DA5EC3"/>
    <w:rsid w:val="00DB011B"/>
    <w:rsid w:val="00DB2B9E"/>
    <w:rsid w:val="00DB4E39"/>
    <w:rsid w:val="00DC0946"/>
    <w:rsid w:val="00DC09AB"/>
    <w:rsid w:val="00DC4686"/>
    <w:rsid w:val="00DC5154"/>
    <w:rsid w:val="00DE156F"/>
    <w:rsid w:val="00DF0657"/>
    <w:rsid w:val="00DF2E73"/>
    <w:rsid w:val="00E02A22"/>
    <w:rsid w:val="00E134AF"/>
    <w:rsid w:val="00E1581A"/>
    <w:rsid w:val="00E208E3"/>
    <w:rsid w:val="00E22C7E"/>
    <w:rsid w:val="00E36BCE"/>
    <w:rsid w:val="00E523C6"/>
    <w:rsid w:val="00E666EB"/>
    <w:rsid w:val="00E84639"/>
    <w:rsid w:val="00EA2BCF"/>
    <w:rsid w:val="00EB1A7F"/>
    <w:rsid w:val="00EB247C"/>
    <w:rsid w:val="00EB4567"/>
    <w:rsid w:val="00EB5262"/>
    <w:rsid w:val="00EC0DAB"/>
    <w:rsid w:val="00EF1C70"/>
    <w:rsid w:val="00F015E5"/>
    <w:rsid w:val="00F04798"/>
    <w:rsid w:val="00F10031"/>
    <w:rsid w:val="00F225FD"/>
    <w:rsid w:val="00F27232"/>
    <w:rsid w:val="00F54ADE"/>
    <w:rsid w:val="00F55248"/>
    <w:rsid w:val="00F624D4"/>
    <w:rsid w:val="00F65E6E"/>
    <w:rsid w:val="00F91FA8"/>
    <w:rsid w:val="00F93CA1"/>
    <w:rsid w:val="00FA1DE2"/>
    <w:rsid w:val="00FA417A"/>
    <w:rsid w:val="00FB070F"/>
    <w:rsid w:val="00FB5A43"/>
    <w:rsid w:val="00FB6424"/>
    <w:rsid w:val="00FC5EA3"/>
    <w:rsid w:val="00FC77FF"/>
    <w:rsid w:val="00FD7CA5"/>
    <w:rsid w:val="00FE3B2F"/>
    <w:rsid w:val="00FE3C52"/>
    <w:rsid w:val="00FF2CE4"/>
    <w:rsid w:val="019F5755"/>
    <w:rsid w:val="01AF3509"/>
    <w:rsid w:val="01B228E5"/>
    <w:rsid w:val="024F3426"/>
    <w:rsid w:val="035330B1"/>
    <w:rsid w:val="040526E3"/>
    <w:rsid w:val="04573E3C"/>
    <w:rsid w:val="04CE2C44"/>
    <w:rsid w:val="04FF006F"/>
    <w:rsid w:val="053673FD"/>
    <w:rsid w:val="05B73A31"/>
    <w:rsid w:val="06035CF7"/>
    <w:rsid w:val="06811674"/>
    <w:rsid w:val="08631B38"/>
    <w:rsid w:val="0A9C3BFB"/>
    <w:rsid w:val="0B5638B3"/>
    <w:rsid w:val="0B95607E"/>
    <w:rsid w:val="0CFA563D"/>
    <w:rsid w:val="0D0B48E8"/>
    <w:rsid w:val="0D521B03"/>
    <w:rsid w:val="0D8C089C"/>
    <w:rsid w:val="0DC81496"/>
    <w:rsid w:val="0E0A7D07"/>
    <w:rsid w:val="0E992E47"/>
    <w:rsid w:val="0EAE0A5C"/>
    <w:rsid w:val="0EDB2752"/>
    <w:rsid w:val="0F572683"/>
    <w:rsid w:val="0FFF256B"/>
    <w:rsid w:val="101007F2"/>
    <w:rsid w:val="10383271"/>
    <w:rsid w:val="111E55D1"/>
    <w:rsid w:val="11A203CD"/>
    <w:rsid w:val="12F8158F"/>
    <w:rsid w:val="157E639E"/>
    <w:rsid w:val="15A66B30"/>
    <w:rsid w:val="162222DD"/>
    <w:rsid w:val="162F423E"/>
    <w:rsid w:val="16D04E51"/>
    <w:rsid w:val="171759F4"/>
    <w:rsid w:val="18794386"/>
    <w:rsid w:val="18922C2E"/>
    <w:rsid w:val="19AB22CD"/>
    <w:rsid w:val="1A073443"/>
    <w:rsid w:val="1A245DF7"/>
    <w:rsid w:val="1A77119E"/>
    <w:rsid w:val="1ABB2407"/>
    <w:rsid w:val="1B3E6C31"/>
    <w:rsid w:val="1B8D69A8"/>
    <w:rsid w:val="1BC36F5B"/>
    <w:rsid w:val="1C120175"/>
    <w:rsid w:val="1C236234"/>
    <w:rsid w:val="1CC3355C"/>
    <w:rsid w:val="1D2F2838"/>
    <w:rsid w:val="1D4D3D93"/>
    <w:rsid w:val="1DB46889"/>
    <w:rsid w:val="1E983500"/>
    <w:rsid w:val="207D0C1A"/>
    <w:rsid w:val="21290D35"/>
    <w:rsid w:val="214B4AC0"/>
    <w:rsid w:val="21513817"/>
    <w:rsid w:val="21520F0F"/>
    <w:rsid w:val="219F39BC"/>
    <w:rsid w:val="22A96DA2"/>
    <w:rsid w:val="23492168"/>
    <w:rsid w:val="241D2CBC"/>
    <w:rsid w:val="2452199F"/>
    <w:rsid w:val="245C4631"/>
    <w:rsid w:val="246456EF"/>
    <w:rsid w:val="24C61873"/>
    <w:rsid w:val="25C25CD9"/>
    <w:rsid w:val="26A37486"/>
    <w:rsid w:val="26A60E19"/>
    <w:rsid w:val="276121DB"/>
    <w:rsid w:val="27BF7274"/>
    <w:rsid w:val="28EF3743"/>
    <w:rsid w:val="2941062B"/>
    <w:rsid w:val="294D209E"/>
    <w:rsid w:val="2970390B"/>
    <w:rsid w:val="29860ABB"/>
    <w:rsid w:val="2A276D85"/>
    <w:rsid w:val="2B0D05C6"/>
    <w:rsid w:val="2B1F3631"/>
    <w:rsid w:val="2B762C86"/>
    <w:rsid w:val="2CFA1C4B"/>
    <w:rsid w:val="2DDC0901"/>
    <w:rsid w:val="2E156206"/>
    <w:rsid w:val="2FDF70FC"/>
    <w:rsid w:val="300E632D"/>
    <w:rsid w:val="30E52AD1"/>
    <w:rsid w:val="311A50FE"/>
    <w:rsid w:val="317715AE"/>
    <w:rsid w:val="319055B1"/>
    <w:rsid w:val="32054FF2"/>
    <w:rsid w:val="32C1311A"/>
    <w:rsid w:val="33044CEF"/>
    <w:rsid w:val="336610F1"/>
    <w:rsid w:val="348728F8"/>
    <w:rsid w:val="34D73671"/>
    <w:rsid w:val="34E4234F"/>
    <w:rsid w:val="359774B5"/>
    <w:rsid w:val="35CB3FBD"/>
    <w:rsid w:val="35F7216F"/>
    <w:rsid w:val="35F83856"/>
    <w:rsid w:val="362A0EA8"/>
    <w:rsid w:val="363C05A3"/>
    <w:rsid w:val="37823EC1"/>
    <w:rsid w:val="37B720D4"/>
    <w:rsid w:val="37ED4A94"/>
    <w:rsid w:val="386205C7"/>
    <w:rsid w:val="38FF2355"/>
    <w:rsid w:val="3A833AC6"/>
    <w:rsid w:val="3B453234"/>
    <w:rsid w:val="3B5875E9"/>
    <w:rsid w:val="3B703AF8"/>
    <w:rsid w:val="3C9C4638"/>
    <w:rsid w:val="3C9D66CF"/>
    <w:rsid w:val="3CD01804"/>
    <w:rsid w:val="3D270ABB"/>
    <w:rsid w:val="3D5660A8"/>
    <w:rsid w:val="3D7907AC"/>
    <w:rsid w:val="3F3E0212"/>
    <w:rsid w:val="402D3EEC"/>
    <w:rsid w:val="408F5813"/>
    <w:rsid w:val="40CA70A5"/>
    <w:rsid w:val="40D7318A"/>
    <w:rsid w:val="410C17AF"/>
    <w:rsid w:val="41167F3A"/>
    <w:rsid w:val="417A0F2B"/>
    <w:rsid w:val="417A5670"/>
    <w:rsid w:val="421F31ED"/>
    <w:rsid w:val="4279430F"/>
    <w:rsid w:val="43A10533"/>
    <w:rsid w:val="440A5E54"/>
    <w:rsid w:val="448D617A"/>
    <w:rsid w:val="45F62CE1"/>
    <w:rsid w:val="462B62AB"/>
    <w:rsid w:val="465F3CF4"/>
    <w:rsid w:val="46F97666"/>
    <w:rsid w:val="47214025"/>
    <w:rsid w:val="47F16DCC"/>
    <w:rsid w:val="47F93D2D"/>
    <w:rsid w:val="48305E8E"/>
    <w:rsid w:val="4A330B7D"/>
    <w:rsid w:val="4BBF476D"/>
    <w:rsid w:val="4BF77B1F"/>
    <w:rsid w:val="4C1936F7"/>
    <w:rsid w:val="4C5B3BB1"/>
    <w:rsid w:val="4C9F56BF"/>
    <w:rsid w:val="4CFF720C"/>
    <w:rsid w:val="4DA67CE1"/>
    <w:rsid w:val="4DC11ED3"/>
    <w:rsid w:val="4E8B3436"/>
    <w:rsid w:val="4F8E0E21"/>
    <w:rsid w:val="50515ADF"/>
    <w:rsid w:val="50925CEA"/>
    <w:rsid w:val="51B610E0"/>
    <w:rsid w:val="525D5470"/>
    <w:rsid w:val="52930856"/>
    <w:rsid w:val="56452398"/>
    <w:rsid w:val="56ED24C3"/>
    <w:rsid w:val="57182262"/>
    <w:rsid w:val="584D61CC"/>
    <w:rsid w:val="59597000"/>
    <w:rsid w:val="59BB5868"/>
    <w:rsid w:val="5A4A4C4C"/>
    <w:rsid w:val="5C517840"/>
    <w:rsid w:val="5C961D34"/>
    <w:rsid w:val="5CB84B34"/>
    <w:rsid w:val="5CC85896"/>
    <w:rsid w:val="5CD75754"/>
    <w:rsid w:val="5CE06833"/>
    <w:rsid w:val="5DA877E8"/>
    <w:rsid w:val="5DAC4594"/>
    <w:rsid w:val="5DF77E42"/>
    <w:rsid w:val="5E3C4751"/>
    <w:rsid w:val="5E8E5ECD"/>
    <w:rsid w:val="5EF64A1F"/>
    <w:rsid w:val="5F7666D7"/>
    <w:rsid w:val="5F865CFA"/>
    <w:rsid w:val="5FEA0358"/>
    <w:rsid w:val="60233359"/>
    <w:rsid w:val="60972532"/>
    <w:rsid w:val="61466C92"/>
    <w:rsid w:val="61496466"/>
    <w:rsid w:val="61A250CE"/>
    <w:rsid w:val="61B34C34"/>
    <w:rsid w:val="62E7700C"/>
    <w:rsid w:val="62F15EA6"/>
    <w:rsid w:val="631F494E"/>
    <w:rsid w:val="63236FF0"/>
    <w:rsid w:val="63F013ED"/>
    <w:rsid w:val="645203E1"/>
    <w:rsid w:val="64DE6948"/>
    <w:rsid w:val="650236F2"/>
    <w:rsid w:val="67047713"/>
    <w:rsid w:val="6709552C"/>
    <w:rsid w:val="672E53DA"/>
    <w:rsid w:val="67587B47"/>
    <w:rsid w:val="67950109"/>
    <w:rsid w:val="68137209"/>
    <w:rsid w:val="68B005DE"/>
    <w:rsid w:val="69080DDB"/>
    <w:rsid w:val="6924438E"/>
    <w:rsid w:val="69CF735F"/>
    <w:rsid w:val="6AD83C0E"/>
    <w:rsid w:val="6CCF3477"/>
    <w:rsid w:val="6D4F7755"/>
    <w:rsid w:val="6DAE75DF"/>
    <w:rsid w:val="6E040CD1"/>
    <w:rsid w:val="6E5550A1"/>
    <w:rsid w:val="706E232E"/>
    <w:rsid w:val="70DC595F"/>
    <w:rsid w:val="71590547"/>
    <w:rsid w:val="727C2C6E"/>
    <w:rsid w:val="72E91219"/>
    <w:rsid w:val="740B22C2"/>
    <w:rsid w:val="74135F49"/>
    <w:rsid w:val="74182858"/>
    <w:rsid w:val="75044CF8"/>
    <w:rsid w:val="75231213"/>
    <w:rsid w:val="76FA5450"/>
    <w:rsid w:val="776F3110"/>
    <w:rsid w:val="77D27DA8"/>
    <w:rsid w:val="784C1480"/>
    <w:rsid w:val="78E85A24"/>
    <w:rsid w:val="79707AB4"/>
    <w:rsid w:val="7A297153"/>
    <w:rsid w:val="7AC0052D"/>
    <w:rsid w:val="7B407DAD"/>
    <w:rsid w:val="7BFE27FF"/>
    <w:rsid w:val="7C28620A"/>
    <w:rsid w:val="7C813BCF"/>
    <w:rsid w:val="7C920EF7"/>
    <w:rsid w:val="7CFC0A51"/>
    <w:rsid w:val="7D367EF2"/>
    <w:rsid w:val="7DC74B22"/>
    <w:rsid w:val="7DEE65F3"/>
    <w:rsid w:val="7F9A1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文本1"/>
    <w:basedOn w:val="1"/>
    <w:qFormat/>
    <w:uiPriority w:val="0"/>
  </w:style>
  <w:style w:type="paragraph" w:styleId="3">
    <w:name w:val="Body Text"/>
    <w:basedOn w:val="1"/>
    <w:link w:val="22"/>
    <w:qFormat/>
    <w:uiPriority w:val="0"/>
    <w:pPr>
      <w:spacing w:after="120"/>
    </w:pPr>
  </w:style>
  <w:style w:type="paragraph" w:styleId="4">
    <w:name w:val="Date"/>
    <w:basedOn w:val="1"/>
    <w:next w:val="1"/>
    <w:qFormat/>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4"/>
    <w:qFormat/>
    <w:uiPriority w:val="10"/>
    <w:pPr>
      <w:spacing w:line="579" w:lineRule="exact"/>
      <w:ind w:firstLine="200" w:firstLineChars="200"/>
      <w:outlineLvl w:val="0"/>
    </w:pPr>
    <w:rPr>
      <w:rFonts w:ascii="Cambria" w:hAnsi="Cambria" w:eastAsia="楷体_GB2312"/>
      <w:b/>
      <w:bCs/>
      <w:color w:val="0000FF"/>
      <w:kern w:val="0"/>
      <w:sz w:val="32"/>
      <w:szCs w:val="32"/>
    </w:rPr>
  </w:style>
  <w:style w:type="paragraph" w:styleId="10">
    <w:name w:val="Body Text First Indent"/>
    <w:basedOn w:val="3"/>
    <w:link w:val="23"/>
    <w:qFormat/>
    <w:uiPriority w:val="0"/>
    <w:pPr>
      <w:spacing w:after="0"/>
      <w:ind w:firstLine="420" w:firstLineChars="100"/>
    </w:pPr>
    <w:rPr>
      <w:rFonts w:ascii="Calibri" w:hAnsi="Calibri" w:eastAsia="宋体"/>
      <w:sz w:val="21"/>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rPr>
  </w:style>
  <w:style w:type="character" w:styleId="15">
    <w:name w:val="page number"/>
    <w:qFormat/>
    <w:uiPriority w:val="0"/>
  </w:style>
  <w:style w:type="character" w:customStyle="1" w:styleId="16">
    <w:name w:val="页脚 Char"/>
    <w:link w:val="6"/>
    <w:qFormat/>
    <w:uiPriority w:val="99"/>
    <w:rPr>
      <w:rFonts w:eastAsia="仿宋_GB2312"/>
      <w:kern w:val="2"/>
      <w:sz w:val="18"/>
      <w:szCs w:val="18"/>
    </w:rPr>
  </w:style>
  <w:style w:type="character" w:customStyle="1" w:styleId="17">
    <w:name w:val="页眉 Char"/>
    <w:link w:val="7"/>
    <w:qFormat/>
    <w:uiPriority w:val="0"/>
    <w:rPr>
      <w:rFonts w:eastAsia="仿宋_GB2312"/>
      <w:kern w:val="2"/>
      <w:sz w:val="18"/>
      <w:szCs w:val="18"/>
    </w:rPr>
  </w:style>
  <w:style w:type="character" w:customStyle="1" w:styleId="18">
    <w:name w:val="font41"/>
    <w:qFormat/>
    <w:uiPriority w:val="0"/>
    <w:rPr>
      <w:rFonts w:hint="eastAsia" w:ascii="宋体" w:hAnsi="宋体" w:eastAsia="宋体" w:cs="宋体"/>
      <w:b/>
      <w:color w:val="000000"/>
      <w:sz w:val="20"/>
      <w:szCs w:val="20"/>
      <w:u w:val="none"/>
    </w:rPr>
  </w:style>
  <w:style w:type="character" w:customStyle="1" w:styleId="19">
    <w:name w:val="font21"/>
    <w:qFormat/>
    <w:uiPriority w:val="0"/>
    <w:rPr>
      <w:rFonts w:hint="eastAsia" w:ascii="宋体" w:hAnsi="宋体" w:eastAsia="宋体" w:cs="宋体"/>
      <w:color w:val="000000"/>
      <w:sz w:val="20"/>
      <w:szCs w:val="20"/>
      <w:u w:val="none"/>
    </w:rPr>
  </w:style>
  <w:style w:type="paragraph" w:styleId="20">
    <w:name w:val="List Paragraph"/>
    <w:basedOn w:val="1"/>
    <w:qFormat/>
    <w:uiPriority w:val="99"/>
    <w:pPr>
      <w:ind w:firstLine="420" w:firstLineChars="200"/>
    </w:pPr>
  </w:style>
  <w:style w:type="paragraph" w:customStyle="1" w:styleId="21">
    <w:name w:val="p0"/>
    <w:basedOn w:val="1"/>
    <w:qFormat/>
    <w:uiPriority w:val="0"/>
    <w:pPr>
      <w:widowControl/>
    </w:pPr>
    <w:rPr>
      <w:rFonts w:eastAsia="宋体"/>
      <w:kern w:val="0"/>
      <w:sz w:val="21"/>
      <w:szCs w:val="21"/>
    </w:rPr>
  </w:style>
  <w:style w:type="character" w:customStyle="1" w:styleId="22">
    <w:name w:val="正文文本 Char"/>
    <w:link w:val="3"/>
    <w:qFormat/>
    <w:uiPriority w:val="0"/>
    <w:rPr>
      <w:rFonts w:eastAsia="仿宋_GB2312"/>
      <w:kern w:val="2"/>
      <w:sz w:val="28"/>
    </w:rPr>
  </w:style>
  <w:style w:type="character" w:customStyle="1" w:styleId="23">
    <w:name w:val="正文首行缩进 Char"/>
    <w:link w:val="10"/>
    <w:qFormat/>
    <w:uiPriority w:val="0"/>
    <w:rPr>
      <w:rFonts w:ascii="Calibri" w:hAnsi="Calibri" w:eastAsia="仿宋_GB2312"/>
      <w:kern w:val="2"/>
      <w:sz w:val="21"/>
      <w:szCs w:val="24"/>
    </w:rPr>
  </w:style>
  <w:style w:type="character" w:customStyle="1" w:styleId="24">
    <w:name w:val="标题 Char"/>
    <w:link w:val="9"/>
    <w:qFormat/>
    <w:uiPriority w:val="10"/>
    <w:rPr>
      <w:rFonts w:ascii="Cambria" w:hAnsi="Cambria" w:eastAsia="楷体_GB2312"/>
      <w:b/>
      <w:bCs/>
      <w:color w:val="0000FF"/>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B6E79-C246-4DFD-B907-82CB324830B9}">
  <ds:schemaRefs/>
</ds:datastoreItem>
</file>

<file path=docProps/app.xml><?xml version="1.0" encoding="utf-8"?>
<Properties xmlns="http://schemas.openxmlformats.org/officeDocument/2006/extended-properties" xmlns:vt="http://schemas.openxmlformats.org/officeDocument/2006/docPropsVTypes">
  <Template>Normal</Template>
  <Company>zjds</Company>
  <Pages>23</Pages>
  <Words>10248</Words>
  <Characters>11200</Characters>
  <Lines>82</Lines>
  <Paragraphs>23</Paragraphs>
  <TotalTime>1</TotalTime>
  <ScaleCrop>false</ScaleCrop>
  <LinksUpToDate>false</LinksUpToDate>
  <CharactersWithSpaces>11283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2022-04-22T09:00:00Z</dcterms:created>
  <dc:creator>oa</dc:creator>
  <cp:lastModifiedBy>unicorn</cp:lastModifiedBy>
  <cp:lastPrinted>2022-04-15T09:19:00Z</cp:lastPrinted>
  <dcterms:modified xsi:type="dcterms:W3CDTF">2022-09-28T07:26:41Z</dcterms:modified>
  <dc:title>关于印发2013年度温州市级部门（单位）整体支出绩效管理试点实施方案的通知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80EEFA35ACA34166A466D93B17A7F6EB</vt:lpwstr>
  </property>
</Properties>
</file>