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仿宋_GB2312" w:hAnsi="仿宋_GB2312" w:eastAsia="仿宋_GB2312" w:cs="仿宋_GB2312"/>
          <w:color w:val="000000"/>
          <w:highlight w:val="none"/>
          <w:lang w:val="en-US" w:eastAsia="zh-CN"/>
        </w:rPr>
      </w:pPr>
      <w:r>
        <w:rPr>
          <w:rFonts w:hint="eastAsia" w:ascii="方正小标宋简体" w:eastAsia="方正小标宋简体"/>
          <w:color w:val="000000"/>
          <w:sz w:val="44"/>
          <w:szCs w:val="44"/>
          <w:highlight w:val="none"/>
          <w:lang w:val="en-US" w:eastAsia="zh-CN"/>
        </w:rPr>
        <w:t>2020年重点绩</w:t>
      </w:r>
      <w:bookmarkStart w:id="0" w:name="_GoBack"/>
      <w:bookmarkEnd w:id="0"/>
      <w:r>
        <w:rPr>
          <w:rFonts w:hint="eastAsia" w:ascii="方正小标宋简体" w:eastAsia="方正小标宋简体"/>
          <w:color w:val="000000"/>
          <w:sz w:val="44"/>
          <w:szCs w:val="44"/>
          <w:highlight w:val="none"/>
          <w:lang w:val="en-US" w:eastAsia="zh-CN"/>
        </w:rPr>
        <w:t>效评价项目</w:t>
      </w:r>
    </w:p>
    <w:p>
      <w:pPr>
        <w:spacing w:line="560" w:lineRule="exact"/>
        <w:ind w:firstLine="640" w:firstLineChars="200"/>
        <w:outlineLvl w:val="0"/>
        <w:rPr>
          <w:rFonts w:hint="eastAsia" w:ascii="黑体" w:hAnsi="黑体" w:eastAsia="黑体" w:cs="黑体"/>
          <w:bCs/>
          <w:color w:val="000000"/>
          <w:sz w:val="32"/>
          <w:szCs w:val="21"/>
        </w:rPr>
      </w:pPr>
      <w:r>
        <w:rPr>
          <w:rFonts w:hint="eastAsia" w:ascii="黑体" w:hAnsi="黑体" w:eastAsia="黑体" w:cs="黑体"/>
          <w:bCs/>
          <w:color w:val="000000"/>
          <w:sz w:val="32"/>
          <w:szCs w:val="21"/>
        </w:rPr>
        <w:t>（一）项目基本情况</w:t>
      </w:r>
    </w:p>
    <w:p>
      <w:pPr>
        <w:pStyle w:val="11"/>
        <w:numPr>
          <w:ilvl w:val="0"/>
          <w:numId w:val="1"/>
        </w:numPr>
        <w:spacing w:line="560" w:lineRule="exact"/>
        <w:ind w:firstLineChars="0"/>
        <w:outlineLvl w:val="0"/>
        <w:rPr>
          <w:rFonts w:hint="eastAsia" w:ascii="楷体" w:hAnsi="楷体" w:eastAsia="楷体" w:cs="楷体"/>
          <w:b/>
          <w:bCs w:val="0"/>
          <w:color w:val="000000"/>
          <w:sz w:val="32"/>
          <w:szCs w:val="21"/>
        </w:rPr>
      </w:pPr>
      <w:r>
        <w:rPr>
          <w:rFonts w:hint="eastAsia" w:ascii="楷体" w:hAnsi="楷体" w:eastAsia="楷体" w:cs="楷体"/>
          <w:b/>
          <w:bCs w:val="0"/>
          <w:color w:val="000000"/>
          <w:sz w:val="32"/>
          <w:szCs w:val="21"/>
        </w:rPr>
        <w:t>项目概况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管员工资及社保专项资金属于经常性项目，根据区城管执法局《关于增加红袖章市容劝导员和城市管理协管员的可行性报告》《关于增加红袖章市容劝导员和城市管理协管的实施方案》《中共长沙市开福区委员会常委会议纪要》（2014年第6次）等文件精神，区城管执法局将协管员工资及社保专项资金纳入年度预算，由街道办事处统一管理，区城管执法局负责统筹协调和督察。</w:t>
      </w:r>
    </w:p>
    <w:p>
      <w:pPr>
        <w:pStyle w:val="11"/>
        <w:numPr>
          <w:ilvl w:val="0"/>
          <w:numId w:val="1"/>
        </w:numPr>
        <w:spacing w:line="560" w:lineRule="exact"/>
        <w:ind w:firstLineChars="0"/>
        <w:outlineLvl w:val="0"/>
        <w:rPr>
          <w:rFonts w:hint="eastAsia" w:ascii="楷体" w:hAnsi="楷体" w:eastAsia="楷体" w:cs="楷体"/>
          <w:b/>
          <w:bCs w:val="0"/>
          <w:color w:val="000000"/>
          <w:sz w:val="32"/>
          <w:szCs w:val="21"/>
        </w:rPr>
      </w:pPr>
      <w:r>
        <w:rPr>
          <w:rFonts w:hint="eastAsia" w:ascii="楷体" w:hAnsi="楷体" w:eastAsia="楷体" w:cs="楷体"/>
          <w:b/>
          <w:bCs w:val="0"/>
          <w:color w:val="000000"/>
          <w:sz w:val="32"/>
          <w:szCs w:val="21"/>
        </w:rPr>
        <w:t>项目绩效目标</w:t>
      </w:r>
    </w:p>
    <w:p>
      <w:pPr>
        <w:spacing w:line="360" w:lineRule="auto"/>
        <w:ind w:firstLine="640" w:firstLineChars="200"/>
        <w:rPr>
          <w:sz w:val="32"/>
          <w:szCs w:val="32"/>
        </w:rPr>
      </w:pPr>
      <w:r>
        <w:rPr>
          <w:rFonts w:hint="eastAsia" w:ascii="仿宋_GB2312" w:hAnsi="仿宋_GB2312" w:eastAsia="仿宋_GB2312" w:cs="仿宋_GB2312"/>
          <w:sz w:val="32"/>
          <w:szCs w:val="32"/>
        </w:rPr>
        <w:t>2020年协管员工作目标为协助各街道城管办在辖区范围内开展城市管理工作，如清理街道的小广告，拆除违章建筑，整治占道经营，取缔马路市场，查处乱倒垃圾，污水乱流，车辆乱停乱放、乱摆乱设等现象，进一步强化核心城区主要主次干道两厢的市容秩序、环境卫生的管控力度和效果，增强核心城区范围内街道、社区常态化的管控力度，创新市容环境管理模式，明确条块工作职责，打造整洁、清秀、靓丽的城市环境。</w:t>
      </w:r>
    </w:p>
    <w:p>
      <w:pPr>
        <w:spacing w:line="560" w:lineRule="exact"/>
        <w:ind w:firstLine="640" w:firstLineChars="200"/>
        <w:outlineLvl w:val="0"/>
        <w:rPr>
          <w:rFonts w:hint="eastAsia" w:ascii="黑体" w:hAnsi="黑体" w:eastAsia="黑体" w:cs="黑体"/>
          <w:bCs/>
          <w:color w:val="000000"/>
          <w:sz w:val="32"/>
          <w:szCs w:val="21"/>
        </w:rPr>
      </w:pPr>
      <w:r>
        <w:rPr>
          <w:rFonts w:hint="eastAsia" w:ascii="黑体" w:hAnsi="黑体" w:eastAsia="黑体" w:cs="黑体"/>
          <w:bCs/>
          <w:color w:val="000000"/>
          <w:sz w:val="32"/>
          <w:szCs w:val="21"/>
          <w:lang w:eastAsia="zh-CN"/>
        </w:rPr>
        <w:t>（二）</w:t>
      </w:r>
      <w:r>
        <w:rPr>
          <w:rFonts w:hint="eastAsia" w:ascii="黑体" w:hAnsi="黑体" w:eastAsia="黑体" w:cs="黑体"/>
          <w:bCs/>
          <w:color w:val="000000"/>
          <w:sz w:val="32"/>
          <w:szCs w:val="21"/>
        </w:rPr>
        <w:t>绩效评价工作情况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2020年开福区共有城管协管员平均在职人数505人 ，其中22名城管协管员由区城管执法局城管科管理，工资由区城管执法局统一发放；其余483名城管协管员员分配在开福区辖属16个街道（社区），由各街道自主招聘，属街道城管办管理，工资由所在街道（社区）发放。各街道城管办由所属街道及区城管执法局双向管理。协管员工资及社保均由区财政按人员编额及确定的工资标准拨付，2020年城管协管员月工资标准为1590元/人。城管协管员一经录用即与所属区城管执法局或街道签订劳动合同，并购买社会保险。</w:t>
      </w:r>
    </w:p>
    <w:p>
      <w:pPr>
        <w:spacing w:line="560" w:lineRule="exact"/>
        <w:ind w:firstLine="640" w:firstLineChars="200"/>
        <w:outlineLvl w:val="0"/>
        <w:rPr>
          <w:rFonts w:hint="eastAsia" w:ascii="黑体" w:hAnsi="黑体" w:eastAsia="黑体" w:cs="黑体"/>
          <w:bCs/>
          <w:color w:val="000000"/>
          <w:sz w:val="32"/>
          <w:szCs w:val="21"/>
          <w:lang w:eastAsia="zh-CN"/>
        </w:rPr>
      </w:pPr>
      <w:r>
        <w:rPr>
          <w:rFonts w:hint="eastAsia" w:ascii="黑体" w:hAnsi="黑体" w:eastAsia="黑体" w:cs="黑体"/>
          <w:bCs/>
          <w:color w:val="000000"/>
          <w:sz w:val="32"/>
          <w:szCs w:val="21"/>
          <w:lang w:eastAsia="zh-CN"/>
        </w:rPr>
        <w:t>（三）项目资金情况（单位：万元）</w:t>
      </w:r>
    </w:p>
    <w:p>
      <w:pPr>
        <w:pStyle w:val="11"/>
        <w:numPr>
          <w:ilvl w:val="0"/>
          <w:numId w:val="0"/>
        </w:numPr>
        <w:spacing w:line="560" w:lineRule="exact"/>
        <w:ind w:left="560" w:leftChars="0"/>
        <w:outlineLvl w:val="0"/>
        <w:rPr>
          <w:rFonts w:hint="eastAsia" w:ascii="楷体" w:hAnsi="楷体" w:eastAsia="楷体" w:cs="楷体"/>
          <w:b/>
          <w:bCs w:val="0"/>
          <w:color w:val="000000"/>
          <w:sz w:val="32"/>
          <w:szCs w:val="21"/>
        </w:rPr>
      </w:pPr>
      <w:r>
        <w:rPr>
          <w:rFonts w:hint="eastAsia" w:ascii="楷体" w:hAnsi="楷体" w:eastAsia="楷体" w:cs="楷体"/>
          <w:b/>
          <w:bCs w:val="0"/>
          <w:color w:val="000000"/>
          <w:sz w:val="32"/>
          <w:szCs w:val="21"/>
        </w:rPr>
        <w:t>1、资金使用情况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2020年协管员工资及社保专项资金年初预算1500.59万元，实际拨付至区城管执法局和各街道办事处合计1497.9万元，资金到位率99.82%；区城管执法局和各街道办事处账面支出资金合计1497.9万元，预算执行率100%，</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183"/>
        <w:gridCol w:w="201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trPr>
        <w:tc>
          <w:tcPr>
            <w:tcW w:w="3196" w:type="dxa"/>
            <w:vAlign w:val="center"/>
          </w:tcPr>
          <w:p>
            <w:pPr>
              <w:jc w:val="center"/>
              <w:outlineLvl w:val="0"/>
              <w:rPr>
                <w:rFonts w:ascii="黑体" w:hAnsi="黑体" w:eastAsia="黑体" w:cs="黑体"/>
                <w:bCs/>
                <w:color w:val="000000"/>
                <w:sz w:val="24"/>
                <w:szCs w:val="24"/>
              </w:rPr>
            </w:pPr>
            <w:r>
              <w:rPr>
                <w:rFonts w:hint="eastAsia" w:ascii="黑体" w:hAnsi="黑体" w:eastAsia="黑体" w:cs="黑体"/>
                <w:bCs/>
                <w:color w:val="000000"/>
                <w:sz w:val="24"/>
                <w:szCs w:val="24"/>
              </w:rPr>
              <w:t>项目内容</w:t>
            </w:r>
          </w:p>
        </w:tc>
        <w:tc>
          <w:tcPr>
            <w:tcW w:w="2183" w:type="dxa"/>
            <w:vAlign w:val="center"/>
          </w:tcPr>
          <w:p>
            <w:pPr>
              <w:jc w:val="center"/>
              <w:outlineLvl w:val="0"/>
              <w:rPr>
                <w:rFonts w:ascii="黑体" w:hAnsi="黑体" w:eastAsia="黑体" w:cs="黑体"/>
                <w:bCs/>
                <w:color w:val="000000"/>
                <w:sz w:val="24"/>
                <w:szCs w:val="24"/>
              </w:rPr>
            </w:pPr>
            <w:r>
              <w:rPr>
                <w:rFonts w:hint="eastAsia" w:ascii="黑体" w:hAnsi="黑体" w:eastAsia="黑体" w:cs="黑体"/>
                <w:bCs/>
                <w:color w:val="000000"/>
                <w:sz w:val="24"/>
                <w:szCs w:val="24"/>
              </w:rPr>
              <w:t>安排金额</w:t>
            </w:r>
          </w:p>
        </w:tc>
        <w:tc>
          <w:tcPr>
            <w:tcW w:w="2019" w:type="dxa"/>
            <w:vAlign w:val="center"/>
          </w:tcPr>
          <w:p>
            <w:pPr>
              <w:jc w:val="center"/>
              <w:outlineLvl w:val="0"/>
              <w:rPr>
                <w:rFonts w:ascii="黑体" w:hAnsi="黑体" w:eastAsia="黑体" w:cs="黑体"/>
                <w:bCs/>
                <w:color w:val="000000"/>
                <w:sz w:val="24"/>
                <w:szCs w:val="24"/>
              </w:rPr>
            </w:pPr>
            <w:r>
              <w:rPr>
                <w:rFonts w:hint="eastAsia" w:ascii="黑体" w:hAnsi="黑体" w:eastAsia="黑体" w:cs="黑体"/>
                <w:bCs/>
                <w:color w:val="000000"/>
                <w:sz w:val="24"/>
                <w:szCs w:val="24"/>
              </w:rPr>
              <w:t>实际使用金额</w:t>
            </w:r>
          </w:p>
        </w:tc>
        <w:tc>
          <w:tcPr>
            <w:tcW w:w="1520" w:type="dxa"/>
            <w:vAlign w:val="center"/>
          </w:tcPr>
          <w:p>
            <w:pPr>
              <w:jc w:val="center"/>
              <w:outlineLvl w:val="0"/>
              <w:rPr>
                <w:rFonts w:ascii="黑体" w:hAnsi="黑体" w:eastAsia="黑体" w:cs="黑体"/>
                <w:bCs/>
                <w:color w:val="000000"/>
                <w:sz w:val="24"/>
                <w:szCs w:val="24"/>
              </w:rPr>
            </w:pPr>
            <w:r>
              <w:rPr>
                <w:rFonts w:hint="eastAsia" w:ascii="黑体" w:hAnsi="黑体" w:eastAsia="黑体" w:cs="黑体"/>
                <w:bCs/>
                <w:color w:val="000000"/>
                <w:sz w:val="24"/>
                <w:szCs w:val="24"/>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vAlign w:val="center"/>
          </w:tcPr>
          <w:p>
            <w:pPr>
              <w:outlineLvl w:val="0"/>
              <w:rPr>
                <w:rFonts w:ascii="仿宋_GB2312"/>
                <w:bCs/>
                <w:color w:val="000000"/>
                <w:sz w:val="24"/>
                <w:szCs w:val="24"/>
              </w:rPr>
            </w:pPr>
            <w:r>
              <w:rPr>
                <w:rFonts w:hint="eastAsia" w:ascii="仿宋_GB2312"/>
                <w:bCs/>
                <w:color w:val="000000"/>
                <w:sz w:val="24"/>
                <w:szCs w:val="24"/>
              </w:rPr>
              <w:t>项目资金总额</w:t>
            </w:r>
          </w:p>
        </w:tc>
        <w:tc>
          <w:tcPr>
            <w:tcW w:w="2183" w:type="dxa"/>
            <w:vAlign w:val="center"/>
          </w:tcPr>
          <w:p>
            <w:pPr>
              <w:jc w:val="center"/>
              <w:outlineLvl w:val="0"/>
              <w:rPr>
                <w:rFonts w:ascii="仿宋_GB2312"/>
                <w:bCs/>
                <w:color w:val="000000"/>
                <w:sz w:val="24"/>
                <w:szCs w:val="24"/>
              </w:rPr>
            </w:pPr>
            <w:r>
              <w:rPr>
                <w:rFonts w:hint="eastAsia" w:ascii="仿宋_GB2312"/>
                <w:bCs/>
                <w:color w:val="000000"/>
                <w:sz w:val="24"/>
                <w:szCs w:val="24"/>
              </w:rPr>
              <w:t>1500.59万元</w:t>
            </w:r>
          </w:p>
        </w:tc>
        <w:tc>
          <w:tcPr>
            <w:tcW w:w="2019" w:type="dxa"/>
            <w:vAlign w:val="center"/>
          </w:tcPr>
          <w:p>
            <w:pPr>
              <w:jc w:val="center"/>
              <w:outlineLvl w:val="0"/>
              <w:rPr>
                <w:rFonts w:ascii="仿宋_GB2312"/>
                <w:bCs/>
                <w:color w:val="000000"/>
                <w:sz w:val="24"/>
                <w:szCs w:val="24"/>
              </w:rPr>
            </w:pPr>
            <w:r>
              <w:rPr>
                <w:rFonts w:hint="eastAsia" w:ascii="仿宋_GB2312"/>
                <w:bCs/>
                <w:color w:val="000000"/>
                <w:sz w:val="24"/>
                <w:szCs w:val="24"/>
              </w:rPr>
              <w:t>1497.9万元</w:t>
            </w:r>
          </w:p>
        </w:tc>
        <w:tc>
          <w:tcPr>
            <w:tcW w:w="1520" w:type="dxa"/>
            <w:vAlign w:val="center"/>
          </w:tcPr>
          <w:p>
            <w:pPr>
              <w:jc w:val="center"/>
              <w:outlineLvl w:val="0"/>
              <w:rPr>
                <w:rFonts w:ascii="仿宋_GB2312"/>
                <w:bCs/>
                <w:color w:val="000000"/>
                <w:sz w:val="24"/>
                <w:szCs w:val="24"/>
              </w:rPr>
            </w:pPr>
            <w:r>
              <w:rPr>
                <w:rFonts w:hint="eastAsia" w:ascii="仿宋_GB2312"/>
                <w:bCs/>
                <w:color w:val="000000"/>
                <w:sz w:val="24"/>
                <w:szCs w:val="24"/>
              </w:rPr>
              <w:t>2.69万元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vAlign w:val="center"/>
          </w:tcPr>
          <w:p>
            <w:pPr>
              <w:ind w:firstLine="240" w:firstLineChars="100"/>
              <w:outlineLvl w:val="0"/>
              <w:rPr>
                <w:rFonts w:ascii="仿宋_GB2312"/>
                <w:bCs/>
                <w:color w:val="000000"/>
                <w:sz w:val="24"/>
                <w:szCs w:val="24"/>
              </w:rPr>
            </w:pPr>
            <w:r>
              <w:rPr>
                <w:rFonts w:hint="eastAsia" w:ascii="仿宋_GB2312"/>
                <w:bCs/>
                <w:color w:val="000000"/>
                <w:sz w:val="24"/>
                <w:szCs w:val="24"/>
              </w:rPr>
              <w:t>其中：区级资金</w:t>
            </w:r>
          </w:p>
        </w:tc>
        <w:tc>
          <w:tcPr>
            <w:tcW w:w="2183" w:type="dxa"/>
            <w:vAlign w:val="center"/>
          </w:tcPr>
          <w:p>
            <w:pPr>
              <w:jc w:val="center"/>
              <w:outlineLvl w:val="0"/>
              <w:rPr>
                <w:rFonts w:ascii="仿宋_GB2312"/>
                <w:bCs/>
                <w:color w:val="000000"/>
                <w:sz w:val="24"/>
                <w:szCs w:val="24"/>
              </w:rPr>
            </w:pPr>
            <w:r>
              <w:rPr>
                <w:rFonts w:hint="eastAsia" w:ascii="仿宋_GB2312"/>
                <w:bCs/>
                <w:color w:val="000000"/>
                <w:sz w:val="24"/>
                <w:szCs w:val="24"/>
              </w:rPr>
              <w:t>1500.59万元</w:t>
            </w:r>
          </w:p>
        </w:tc>
        <w:tc>
          <w:tcPr>
            <w:tcW w:w="2019" w:type="dxa"/>
            <w:vAlign w:val="center"/>
          </w:tcPr>
          <w:p>
            <w:pPr>
              <w:jc w:val="center"/>
              <w:outlineLvl w:val="0"/>
              <w:rPr>
                <w:rFonts w:ascii="仿宋_GB2312"/>
                <w:bCs/>
                <w:color w:val="000000"/>
                <w:sz w:val="24"/>
                <w:szCs w:val="24"/>
              </w:rPr>
            </w:pPr>
            <w:r>
              <w:rPr>
                <w:rFonts w:hint="eastAsia" w:ascii="仿宋_GB2312"/>
                <w:bCs/>
                <w:color w:val="000000"/>
                <w:sz w:val="24"/>
                <w:szCs w:val="24"/>
              </w:rPr>
              <w:t>1497.9万元</w:t>
            </w:r>
          </w:p>
        </w:tc>
        <w:tc>
          <w:tcPr>
            <w:tcW w:w="1520" w:type="dxa"/>
            <w:vAlign w:val="center"/>
          </w:tcPr>
          <w:p>
            <w:pPr>
              <w:jc w:val="center"/>
              <w:outlineLvl w:val="0"/>
              <w:rPr>
                <w:rFonts w:ascii="仿宋_GB2312"/>
                <w:bCs/>
                <w:color w:val="000000"/>
                <w:sz w:val="24"/>
                <w:szCs w:val="24"/>
              </w:rPr>
            </w:pPr>
            <w:r>
              <w:rPr>
                <w:rFonts w:hint="eastAsia" w:ascii="仿宋_GB2312"/>
                <w:bCs/>
                <w:color w:val="000000"/>
                <w:sz w:val="24"/>
                <w:szCs w:val="24"/>
              </w:rPr>
              <w:t>2.69万元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vAlign w:val="center"/>
          </w:tcPr>
          <w:p>
            <w:pPr>
              <w:ind w:firstLine="240" w:firstLineChars="100"/>
              <w:outlineLvl w:val="0"/>
              <w:rPr>
                <w:rFonts w:ascii="仿宋_GB2312"/>
                <w:bCs/>
                <w:color w:val="000000"/>
                <w:sz w:val="24"/>
                <w:szCs w:val="24"/>
              </w:rPr>
            </w:pPr>
            <w:r>
              <w:rPr>
                <w:rFonts w:hint="eastAsia" w:ascii="仿宋_GB2312"/>
                <w:bCs/>
                <w:color w:val="000000"/>
                <w:sz w:val="24"/>
                <w:szCs w:val="24"/>
              </w:rPr>
              <w:t>中央、省、市资金</w:t>
            </w:r>
          </w:p>
        </w:tc>
        <w:tc>
          <w:tcPr>
            <w:tcW w:w="2183" w:type="dxa"/>
            <w:vAlign w:val="center"/>
          </w:tcPr>
          <w:p>
            <w:pPr>
              <w:jc w:val="center"/>
              <w:outlineLvl w:val="0"/>
              <w:rPr>
                <w:rFonts w:ascii="仿宋_GB2312"/>
                <w:bCs/>
                <w:color w:val="000000"/>
                <w:sz w:val="24"/>
                <w:szCs w:val="24"/>
              </w:rPr>
            </w:pPr>
          </w:p>
        </w:tc>
        <w:tc>
          <w:tcPr>
            <w:tcW w:w="2019" w:type="dxa"/>
            <w:vAlign w:val="center"/>
          </w:tcPr>
          <w:p>
            <w:pPr>
              <w:jc w:val="center"/>
              <w:outlineLvl w:val="0"/>
              <w:rPr>
                <w:rFonts w:ascii="仿宋_GB2312"/>
                <w:bCs/>
                <w:color w:val="000000"/>
                <w:sz w:val="24"/>
                <w:szCs w:val="24"/>
              </w:rPr>
            </w:pPr>
          </w:p>
        </w:tc>
        <w:tc>
          <w:tcPr>
            <w:tcW w:w="1520" w:type="dxa"/>
            <w:vAlign w:val="center"/>
          </w:tcPr>
          <w:p>
            <w:pPr>
              <w:jc w:val="center"/>
              <w:outlineLvl w:val="0"/>
              <w:rPr>
                <w:rFonts w:ascii="仿宋_GB2312"/>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196" w:type="dxa"/>
            <w:vAlign w:val="center"/>
          </w:tcPr>
          <w:p>
            <w:pPr>
              <w:ind w:firstLine="240" w:firstLineChars="100"/>
              <w:outlineLvl w:val="0"/>
              <w:rPr>
                <w:rFonts w:ascii="仿宋_GB2312"/>
                <w:bCs/>
                <w:color w:val="000000"/>
                <w:sz w:val="24"/>
                <w:szCs w:val="24"/>
              </w:rPr>
            </w:pPr>
            <w:r>
              <w:rPr>
                <w:rFonts w:hint="eastAsia" w:ascii="仿宋_GB2312"/>
                <w:bCs/>
                <w:color w:val="000000"/>
                <w:sz w:val="24"/>
                <w:szCs w:val="24"/>
              </w:rPr>
              <w:t>其他来源资金</w:t>
            </w:r>
          </w:p>
        </w:tc>
        <w:tc>
          <w:tcPr>
            <w:tcW w:w="2183" w:type="dxa"/>
            <w:vAlign w:val="center"/>
          </w:tcPr>
          <w:p>
            <w:pPr>
              <w:jc w:val="center"/>
              <w:outlineLvl w:val="0"/>
              <w:rPr>
                <w:rFonts w:ascii="仿宋_GB2312"/>
                <w:bCs/>
                <w:color w:val="000000"/>
                <w:sz w:val="24"/>
                <w:szCs w:val="24"/>
              </w:rPr>
            </w:pPr>
          </w:p>
        </w:tc>
        <w:tc>
          <w:tcPr>
            <w:tcW w:w="2019" w:type="dxa"/>
            <w:vAlign w:val="center"/>
          </w:tcPr>
          <w:p>
            <w:pPr>
              <w:jc w:val="center"/>
              <w:outlineLvl w:val="0"/>
              <w:rPr>
                <w:rFonts w:ascii="仿宋_GB2312"/>
                <w:bCs/>
                <w:color w:val="000000"/>
                <w:sz w:val="24"/>
                <w:szCs w:val="24"/>
              </w:rPr>
            </w:pPr>
          </w:p>
        </w:tc>
        <w:tc>
          <w:tcPr>
            <w:tcW w:w="1520" w:type="dxa"/>
            <w:vAlign w:val="center"/>
          </w:tcPr>
          <w:p>
            <w:pPr>
              <w:jc w:val="center"/>
              <w:outlineLvl w:val="0"/>
              <w:rPr>
                <w:rFonts w:ascii="仿宋_GB2312"/>
                <w:bCs/>
                <w:color w:val="000000"/>
                <w:sz w:val="24"/>
                <w:szCs w:val="24"/>
              </w:rPr>
            </w:pPr>
          </w:p>
        </w:tc>
      </w:tr>
    </w:tbl>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因协管员保险缴纳是按社保系统自动生成，每月均存在变化，所以缴纳金额不能固定，所以经费存在一定结余。</w:t>
      </w:r>
    </w:p>
    <w:p>
      <w:pPr>
        <w:pStyle w:val="11"/>
        <w:numPr>
          <w:ilvl w:val="0"/>
          <w:numId w:val="0"/>
        </w:numPr>
        <w:spacing w:line="560" w:lineRule="exact"/>
        <w:ind w:left="560" w:leftChars="0"/>
        <w:outlineLvl w:val="0"/>
        <w:rPr>
          <w:rFonts w:hint="eastAsia" w:ascii="楷体" w:hAnsi="楷体" w:eastAsia="楷体" w:cs="楷体"/>
          <w:b/>
          <w:bCs w:val="0"/>
          <w:color w:val="000000"/>
          <w:sz w:val="32"/>
          <w:szCs w:val="21"/>
        </w:rPr>
      </w:pPr>
      <w:r>
        <w:rPr>
          <w:rFonts w:hint="eastAsia" w:ascii="楷体" w:hAnsi="楷体" w:eastAsia="楷体" w:cs="楷体"/>
          <w:b/>
          <w:bCs w:val="0"/>
          <w:color w:val="000000"/>
          <w:sz w:val="32"/>
          <w:szCs w:val="21"/>
          <w:lang w:val="en-US" w:eastAsia="zh-CN"/>
        </w:rPr>
        <w:t>2、</w:t>
      </w:r>
      <w:r>
        <w:rPr>
          <w:rFonts w:hint="eastAsia" w:ascii="楷体" w:hAnsi="楷体" w:eastAsia="楷体" w:cs="楷体"/>
          <w:b/>
          <w:bCs w:val="0"/>
          <w:color w:val="000000"/>
          <w:sz w:val="32"/>
          <w:szCs w:val="21"/>
        </w:rPr>
        <w:t>资金管理情况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专项资金使用，区城管执法局制定了《预算管理制度》、《支出管理制度》、《局队财政专项资金使用办法》等相关财务管理制度，对资金预算、资金支出的审批权限、开支标准等环节进行规范，确保了经费的执行有据可依，有制可循，做到了按规定标准和程序分配资金，按规定的用途和计划使用资金，资金使用和会计核算规范，无资金浪费行为和挤占挪用或套取资金现象等。</w:t>
      </w:r>
    </w:p>
    <w:p>
      <w:pPr>
        <w:spacing w:line="560" w:lineRule="exact"/>
        <w:ind w:firstLine="640" w:firstLineChars="200"/>
        <w:outlineLvl w:val="0"/>
        <w:rPr>
          <w:rFonts w:hint="eastAsia" w:ascii="黑体" w:hAnsi="黑体" w:eastAsia="黑体" w:cs="黑体"/>
          <w:bCs/>
          <w:color w:val="000000"/>
          <w:sz w:val="32"/>
          <w:szCs w:val="21"/>
          <w:lang w:eastAsia="zh-CN"/>
        </w:rPr>
      </w:pPr>
      <w:r>
        <w:rPr>
          <w:rFonts w:hint="eastAsia" w:ascii="黑体" w:hAnsi="黑体" w:eastAsia="黑体" w:cs="黑体"/>
          <w:bCs/>
          <w:color w:val="000000"/>
          <w:sz w:val="32"/>
          <w:szCs w:val="21"/>
          <w:lang w:eastAsia="zh-CN"/>
        </w:rPr>
        <w:t>（四）项目组织管理情况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长沙市城市管理委员会办公室《关于印发〈长沙市城管协管员管理办法〉的通知》（长城管委办〔2014〕6号），区城管执法局制定了《城市管理协管员考核办法》及《开福区城市综合协管员绩效考核指导（试行）办法》（征求意见稿）。各街道参照上述管理制度并结合自身情况制定了一系列工作制度，明确了城管协管员工作职责及考核奖惩措施等，规范了人员管理，为城市管理工作的开展提供了保障。</w:t>
      </w:r>
    </w:p>
    <w:p>
      <w:pPr>
        <w:spacing w:line="560" w:lineRule="exact"/>
        <w:ind w:firstLine="640" w:firstLineChars="200"/>
        <w:outlineLvl w:val="0"/>
        <w:rPr>
          <w:rFonts w:hint="eastAsia" w:ascii="黑体" w:hAnsi="黑体" w:eastAsia="黑体" w:cs="黑体"/>
          <w:bCs/>
          <w:color w:val="000000"/>
          <w:sz w:val="32"/>
          <w:szCs w:val="21"/>
          <w:lang w:eastAsia="zh-CN"/>
        </w:rPr>
      </w:pPr>
      <w:r>
        <w:rPr>
          <w:rFonts w:hint="eastAsia" w:ascii="黑体" w:hAnsi="黑体" w:eastAsia="黑体" w:cs="黑体"/>
          <w:bCs/>
          <w:color w:val="000000"/>
          <w:sz w:val="32"/>
          <w:szCs w:val="21"/>
          <w:lang w:eastAsia="zh-CN"/>
        </w:rPr>
        <w:t>（五）项目绩效情况分析</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街道因地制宜，制定了科学有效的绩效管理机制，对街道城管执法中队、城管协管员等队伍全面推行绩效考核，奖优罚劣。各街道分别建立了城管环保文明汇微信工作群，及时上报工作动态，街道领导随时掌握第一手工作情况，随时指导布置工作，精准发力，进一步规范了街道城管协管员的队伍建设，提高工作效率和依法行政水平。各街道根据实际情况，在辖区内抓重点整治区域，城管中队与协管员队伍联合执法，集中力量进行整治行动，整治违规早夜市，规范经营秩序，杜绝店外经营和流动摊担。全年教育整改、取缔流动摊担万余起，店外经营万余处，锁车、抄牌上千台；推进落实“门前三包”责任制，明确路段负责人，强化宣传，提高意识，加强监督，确保效果，对落实不到位的情况进行“曝光”并接受社会监督,确保“三联单”100%覆盖。</w:t>
      </w:r>
    </w:p>
    <w:p>
      <w:pPr>
        <w:spacing w:line="560" w:lineRule="exact"/>
        <w:ind w:firstLine="640" w:firstLineChars="200"/>
        <w:outlineLvl w:val="0"/>
        <w:rPr>
          <w:rFonts w:hint="eastAsia" w:ascii="黑体" w:hAnsi="黑体" w:eastAsia="黑体" w:cs="黑体"/>
          <w:bCs/>
          <w:color w:val="000000"/>
          <w:sz w:val="32"/>
          <w:szCs w:val="21"/>
          <w:lang w:eastAsia="zh-CN"/>
        </w:rPr>
      </w:pPr>
      <w:r>
        <w:rPr>
          <w:rFonts w:hint="eastAsia" w:ascii="黑体" w:hAnsi="黑体" w:eastAsia="黑体" w:cs="黑体"/>
          <w:bCs/>
          <w:color w:val="000000"/>
          <w:sz w:val="32"/>
          <w:szCs w:val="21"/>
          <w:lang w:eastAsia="zh-CN"/>
        </w:rPr>
        <w:t>（六）存在的问题或不足</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分协管员年龄偏大。《长沙市开福区城市管理局协管员管理方案》对协管员年龄作出明确规定，“原则上男性不超过50周岁，女性不超过45周岁，特别优秀者或特殊岗位工作人员可适当放宽限制”。因各街道协管员由街道自主招聘，各街道参考上述管理方案规定，并结合自身情况，自行拟定了《城市协管员招聘方案》，各街道对协管员年龄要求稍有差异。经抽查，发现有5个街道和区城管局共计90个协管员年龄均超过了限定标准，超龄人数占比44.5%，抽查情况详见下表：</w:t>
      </w:r>
    </w:p>
    <w:tbl>
      <w:tblPr>
        <w:tblStyle w:val="5"/>
        <w:tblW w:w="0" w:type="auto"/>
        <w:tblInd w:w="0" w:type="dxa"/>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1622"/>
        <w:gridCol w:w="1334"/>
        <w:gridCol w:w="1205"/>
        <w:gridCol w:w="1010"/>
        <w:gridCol w:w="1787"/>
        <w:gridCol w:w="1338"/>
      </w:tblGrid>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97" w:hRule="atLeast"/>
          <w:tblHeader/>
        </w:trPr>
        <w:tc>
          <w:tcPr>
            <w:tcW w:w="1622"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抽查街道名称</w:t>
            </w:r>
          </w:p>
        </w:tc>
        <w:tc>
          <w:tcPr>
            <w:tcW w:w="1334"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平均在职人数（人）</w:t>
            </w:r>
          </w:p>
        </w:tc>
        <w:tc>
          <w:tcPr>
            <w:tcW w:w="1205"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超龄人数（人）</w:t>
            </w:r>
          </w:p>
        </w:tc>
        <w:tc>
          <w:tcPr>
            <w:tcW w:w="1010"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超龄人数占比</w:t>
            </w:r>
          </w:p>
        </w:tc>
        <w:tc>
          <w:tcPr>
            <w:tcW w:w="1787"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招聘方案年龄要求</w:t>
            </w:r>
          </w:p>
        </w:tc>
        <w:tc>
          <w:tcPr>
            <w:tcW w:w="1338"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其中最大年龄（岁）</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97" w:hRule="atLeast"/>
          <w:tblHeader/>
        </w:trPr>
        <w:tc>
          <w:tcPr>
            <w:tcW w:w="1622"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新河街道</w:t>
            </w:r>
          </w:p>
        </w:tc>
        <w:tc>
          <w:tcPr>
            <w:tcW w:w="1334"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33.5</w:t>
            </w:r>
          </w:p>
        </w:tc>
        <w:tc>
          <w:tcPr>
            <w:tcW w:w="1205"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10</w:t>
            </w:r>
          </w:p>
        </w:tc>
        <w:tc>
          <w:tcPr>
            <w:tcW w:w="1010" w:type="dxa"/>
            <w:tcBorders>
              <w:tl2br w:val="nil"/>
              <w:tr2bl w:val="nil"/>
            </w:tcBorders>
            <w:noWrap/>
            <w:tcMar>
              <w:top w:w="15" w:type="dxa"/>
              <w:left w:w="15" w:type="dxa"/>
              <w:right w:w="15" w:type="dxa"/>
            </w:tcMar>
            <w:vAlign w:val="center"/>
          </w:tcPr>
          <w:p>
            <w:pPr>
              <w:widowControl/>
              <w:jc w:val="right"/>
              <w:textAlignment w:val="center"/>
              <w:rPr>
                <w:rFonts w:eastAsia="宋体"/>
                <w:color w:val="000000"/>
                <w:sz w:val="21"/>
                <w:szCs w:val="21"/>
              </w:rPr>
            </w:pPr>
            <w:r>
              <w:rPr>
                <w:rFonts w:eastAsia="宋体"/>
                <w:color w:val="000000"/>
                <w:kern w:val="0"/>
                <w:sz w:val="21"/>
                <w:szCs w:val="21"/>
              </w:rPr>
              <w:t>29.85%</w:t>
            </w:r>
          </w:p>
        </w:tc>
        <w:tc>
          <w:tcPr>
            <w:tcW w:w="1787"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男不超过55，女不超过50</w:t>
            </w:r>
          </w:p>
        </w:tc>
        <w:tc>
          <w:tcPr>
            <w:tcW w:w="1338"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59</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97" w:hRule="atLeast"/>
          <w:tblHeader/>
        </w:trPr>
        <w:tc>
          <w:tcPr>
            <w:tcW w:w="1622"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望麓园街道</w:t>
            </w:r>
          </w:p>
        </w:tc>
        <w:tc>
          <w:tcPr>
            <w:tcW w:w="1334"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37.83</w:t>
            </w:r>
          </w:p>
        </w:tc>
        <w:tc>
          <w:tcPr>
            <w:tcW w:w="1205"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13</w:t>
            </w:r>
          </w:p>
        </w:tc>
        <w:tc>
          <w:tcPr>
            <w:tcW w:w="1010" w:type="dxa"/>
            <w:tcBorders>
              <w:tl2br w:val="nil"/>
              <w:tr2bl w:val="nil"/>
            </w:tcBorders>
            <w:noWrap/>
            <w:tcMar>
              <w:top w:w="15" w:type="dxa"/>
              <w:left w:w="15" w:type="dxa"/>
              <w:right w:w="15" w:type="dxa"/>
            </w:tcMar>
            <w:vAlign w:val="center"/>
          </w:tcPr>
          <w:p>
            <w:pPr>
              <w:widowControl/>
              <w:jc w:val="right"/>
              <w:textAlignment w:val="center"/>
              <w:rPr>
                <w:rFonts w:eastAsia="宋体"/>
                <w:color w:val="000000"/>
                <w:sz w:val="21"/>
                <w:szCs w:val="21"/>
              </w:rPr>
            </w:pPr>
            <w:r>
              <w:rPr>
                <w:rFonts w:eastAsia="宋体"/>
                <w:color w:val="000000"/>
                <w:kern w:val="0"/>
                <w:sz w:val="21"/>
                <w:szCs w:val="21"/>
              </w:rPr>
              <w:t>34.36%</w:t>
            </w:r>
          </w:p>
        </w:tc>
        <w:tc>
          <w:tcPr>
            <w:tcW w:w="1787"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男不超过50，女不超过45</w:t>
            </w:r>
          </w:p>
        </w:tc>
        <w:tc>
          <w:tcPr>
            <w:tcW w:w="1338"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54</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97" w:hRule="atLeast"/>
          <w:tblHeader/>
        </w:trPr>
        <w:tc>
          <w:tcPr>
            <w:tcW w:w="1622"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东风路街道</w:t>
            </w:r>
          </w:p>
        </w:tc>
        <w:tc>
          <w:tcPr>
            <w:tcW w:w="1334"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45.75</w:t>
            </w:r>
          </w:p>
        </w:tc>
        <w:tc>
          <w:tcPr>
            <w:tcW w:w="1205"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35</w:t>
            </w:r>
          </w:p>
        </w:tc>
        <w:tc>
          <w:tcPr>
            <w:tcW w:w="1010" w:type="dxa"/>
            <w:tcBorders>
              <w:tl2br w:val="nil"/>
              <w:tr2bl w:val="nil"/>
            </w:tcBorders>
            <w:noWrap/>
            <w:tcMar>
              <w:top w:w="15" w:type="dxa"/>
              <w:left w:w="15" w:type="dxa"/>
              <w:right w:w="15" w:type="dxa"/>
            </w:tcMar>
            <w:vAlign w:val="center"/>
          </w:tcPr>
          <w:p>
            <w:pPr>
              <w:widowControl/>
              <w:jc w:val="right"/>
              <w:textAlignment w:val="center"/>
              <w:rPr>
                <w:rFonts w:eastAsia="宋体"/>
                <w:color w:val="000000"/>
                <w:sz w:val="21"/>
                <w:szCs w:val="21"/>
              </w:rPr>
            </w:pPr>
            <w:r>
              <w:rPr>
                <w:rFonts w:eastAsia="宋体"/>
                <w:color w:val="000000"/>
                <w:kern w:val="0"/>
                <w:sz w:val="21"/>
                <w:szCs w:val="21"/>
              </w:rPr>
              <w:t>76.50%</w:t>
            </w:r>
          </w:p>
        </w:tc>
        <w:tc>
          <w:tcPr>
            <w:tcW w:w="1787"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男40岁以下，女35岁以下</w:t>
            </w:r>
          </w:p>
        </w:tc>
        <w:tc>
          <w:tcPr>
            <w:tcW w:w="1338"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59</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97" w:hRule="atLeast"/>
          <w:tblHeader/>
        </w:trPr>
        <w:tc>
          <w:tcPr>
            <w:tcW w:w="1622"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湘雅路街道</w:t>
            </w:r>
          </w:p>
        </w:tc>
        <w:tc>
          <w:tcPr>
            <w:tcW w:w="1334"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42.25</w:t>
            </w:r>
          </w:p>
        </w:tc>
        <w:tc>
          <w:tcPr>
            <w:tcW w:w="1205"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12</w:t>
            </w:r>
          </w:p>
        </w:tc>
        <w:tc>
          <w:tcPr>
            <w:tcW w:w="1010" w:type="dxa"/>
            <w:tcBorders>
              <w:tl2br w:val="nil"/>
              <w:tr2bl w:val="nil"/>
            </w:tcBorders>
            <w:noWrap/>
            <w:tcMar>
              <w:top w:w="15" w:type="dxa"/>
              <w:left w:w="15" w:type="dxa"/>
              <w:right w:w="15" w:type="dxa"/>
            </w:tcMar>
            <w:vAlign w:val="center"/>
          </w:tcPr>
          <w:p>
            <w:pPr>
              <w:widowControl/>
              <w:jc w:val="right"/>
              <w:textAlignment w:val="center"/>
              <w:rPr>
                <w:rFonts w:eastAsia="宋体"/>
                <w:color w:val="000000"/>
                <w:sz w:val="21"/>
                <w:szCs w:val="21"/>
              </w:rPr>
            </w:pPr>
            <w:r>
              <w:rPr>
                <w:rFonts w:eastAsia="宋体"/>
                <w:color w:val="000000"/>
                <w:kern w:val="0"/>
                <w:sz w:val="21"/>
                <w:szCs w:val="21"/>
              </w:rPr>
              <w:t>28.40%</w:t>
            </w:r>
          </w:p>
        </w:tc>
        <w:tc>
          <w:tcPr>
            <w:tcW w:w="1787"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男不超过50，女不超过45</w:t>
            </w:r>
          </w:p>
        </w:tc>
        <w:tc>
          <w:tcPr>
            <w:tcW w:w="1338"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60</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97" w:hRule="atLeast"/>
          <w:tblHeader/>
        </w:trPr>
        <w:tc>
          <w:tcPr>
            <w:tcW w:w="1622"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秀峰街道</w:t>
            </w:r>
          </w:p>
        </w:tc>
        <w:tc>
          <w:tcPr>
            <w:tcW w:w="1334"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21</w:t>
            </w:r>
          </w:p>
        </w:tc>
        <w:tc>
          <w:tcPr>
            <w:tcW w:w="1205"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4</w:t>
            </w:r>
          </w:p>
        </w:tc>
        <w:tc>
          <w:tcPr>
            <w:tcW w:w="1010" w:type="dxa"/>
            <w:tcBorders>
              <w:tl2br w:val="nil"/>
              <w:tr2bl w:val="nil"/>
            </w:tcBorders>
            <w:noWrap/>
            <w:tcMar>
              <w:top w:w="15" w:type="dxa"/>
              <w:left w:w="15" w:type="dxa"/>
              <w:right w:w="15" w:type="dxa"/>
            </w:tcMar>
            <w:vAlign w:val="center"/>
          </w:tcPr>
          <w:p>
            <w:pPr>
              <w:widowControl/>
              <w:jc w:val="right"/>
              <w:textAlignment w:val="center"/>
              <w:rPr>
                <w:rFonts w:eastAsia="宋体"/>
                <w:color w:val="000000"/>
                <w:sz w:val="21"/>
                <w:szCs w:val="21"/>
              </w:rPr>
            </w:pPr>
            <w:r>
              <w:rPr>
                <w:rFonts w:eastAsia="宋体"/>
                <w:color w:val="000000"/>
                <w:kern w:val="0"/>
                <w:sz w:val="21"/>
                <w:szCs w:val="21"/>
              </w:rPr>
              <w:t>19.05%</w:t>
            </w:r>
          </w:p>
        </w:tc>
        <w:tc>
          <w:tcPr>
            <w:tcW w:w="1787"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男不超过50，女不超过45</w:t>
            </w:r>
          </w:p>
        </w:tc>
        <w:tc>
          <w:tcPr>
            <w:tcW w:w="1338"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57</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97" w:hRule="atLeast"/>
          <w:tblHeader/>
        </w:trPr>
        <w:tc>
          <w:tcPr>
            <w:tcW w:w="1622"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hint="eastAsia" w:eastAsia="宋体"/>
                <w:color w:val="000000"/>
                <w:kern w:val="0"/>
                <w:sz w:val="21"/>
                <w:szCs w:val="21"/>
              </w:rPr>
              <w:t>区城管</w:t>
            </w:r>
            <w:r>
              <w:rPr>
                <w:rFonts w:eastAsia="宋体"/>
                <w:color w:val="000000"/>
                <w:kern w:val="0"/>
                <w:sz w:val="21"/>
                <w:szCs w:val="21"/>
              </w:rPr>
              <w:t>局</w:t>
            </w:r>
          </w:p>
        </w:tc>
        <w:tc>
          <w:tcPr>
            <w:tcW w:w="1334"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21.92</w:t>
            </w:r>
          </w:p>
        </w:tc>
        <w:tc>
          <w:tcPr>
            <w:tcW w:w="1205"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16</w:t>
            </w:r>
          </w:p>
        </w:tc>
        <w:tc>
          <w:tcPr>
            <w:tcW w:w="1010" w:type="dxa"/>
            <w:tcBorders>
              <w:tl2br w:val="nil"/>
              <w:tr2bl w:val="nil"/>
            </w:tcBorders>
            <w:noWrap/>
            <w:tcMar>
              <w:top w:w="15" w:type="dxa"/>
              <w:left w:w="15" w:type="dxa"/>
              <w:right w:w="15" w:type="dxa"/>
            </w:tcMar>
            <w:vAlign w:val="center"/>
          </w:tcPr>
          <w:p>
            <w:pPr>
              <w:widowControl/>
              <w:jc w:val="right"/>
              <w:textAlignment w:val="center"/>
              <w:rPr>
                <w:rFonts w:eastAsia="宋体"/>
                <w:color w:val="000000"/>
                <w:sz w:val="21"/>
                <w:szCs w:val="21"/>
              </w:rPr>
            </w:pPr>
            <w:r>
              <w:rPr>
                <w:rFonts w:eastAsia="宋体"/>
                <w:color w:val="000000"/>
                <w:kern w:val="0"/>
                <w:sz w:val="21"/>
                <w:szCs w:val="21"/>
              </w:rPr>
              <w:t>72.99%</w:t>
            </w:r>
          </w:p>
        </w:tc>
        <w:tc>
          <w:tcPr>
            <w:tcW w:w="1787" w:type="dxa"/>
            <w:tcBorders>
              <w:tl2br w:val="nil"/>
              <w:tr2bl w:val="nil"/>
            </w:tcBorders>
            <w:noWrap/>
            <w:tcMar>
              <w:top w:w="15" w:type="dxa"/>
              <w:left w:w="15" w:type="dxa"/>
              <w:right w:w="15" w:type="dxa"/>
            </w:tcMar>
            <w:vAlign w:val="center"/>
          </w:tcPr>
          <w:p>
            <w:pPr>
              <w:widowControl/>
              <w:jc w:val="left"/>
              <w:textAlignment w:val="center"/>
              <w:rPr>
                <w:rFonts w:eastAsia="宋体"/>
                <w:color w:val="000000"/>
                <w:sz w:val="21"/>
                <w:szCs w:val="21"/>
              </w:rPr>
            </w:pPr>
            <w:r>
              <w:rPr>
                <w:rFonts w:eastAsia="宋体"/>
                <w:color w:val="000000"/>
                <w:kern w:val="0"/>
                <w:sz w:val="21"/>
                <w:szCs w:val="21"/>
              </w:rPr>
              <w:t>40周岁以下</w:t>
            </w:r>
          </w:p>
        </w:tc>
        <w:tc>
          <w:tcPr>
            <w:tcW w:w="1338"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58</w:t>
            </w:r>
          </w:p>
        </w:tc>
      </w:tr>
      <w:tr>
        <w:tblPrEx>
          <w:tblBorders>
            <w:top w:val="single" w:color="000000" w:sz="12" w:space="0"/>
            <w:left w:val="none" w:color="auto" w:sz="0" w:space="0"/>
            <w:bottom w:val="single" w:color="000000" w:sz="12"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397" w:hRule="atLeast"/>
          <w:tblHeader/>
        </w:trPr>
        <w:tc>
          <w:tcPr>
            <w:tcW w:w="1622"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合计</w:t>
            </w:r>
          </w:p>
        </w:tc>
        <w:tc>
          <w:tcPr>
            <w:tcW w:w="1334"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202.25</w:t>
            </w:r>
          </w:p>
        </w:tc>
        <w:tc>
          <w:tcPr>
            <w:tcW w:w="1205"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r>
              <w:rPr>
                <w:rFonts w:eastAsia="宋体"/>
                <w:color w:val="000000"/>
                <w:kern w:val="0"/>
                <w:sz w:val="21"/>
                <w:szCs w:val="21"/>
              </w:rPr>
              <w:t>90</w:t>
            </w:r>
          </w:p>
        </w:tc>
        <w:tc>
          <w:tcPr>
            <w:tcW w:w="1010" w:type="dxa"/>
            <w:tcBorders>
              <w:tl2br w:val="nil"/>
              <w:tr2bl w:val="nil"/>
            </w:tcBorders>
            <w:noWrap/>
            <w:tcMar>
              <w:top w:w="15" w:type="dxa"/>
              <w:left w:w="15" w:type="dxa"/>
              <w:right w:w="15" w:type="dxa"/>
            </w:tcMar>
            <w:vAlign w:val="center"/>
          </w:tcPr>
          <w:p>
            <w:pPr>
              <w:widowControl/>
              <w:jc w:val="right"/>
              <w:textAlignment w:val="center"/>
              <w:rPr>
                <w:rFonts w:eastAsia="宋体"/>
                <w:color w:val="000000"/>
                <w:sz w:val="21"/>
                <w:szCs w:val="21"/>
              </w:rPr>
            </w:pPr>
            <w:r>
              <w:rPr>
                <w:rFonts w:eastAsia="宋体"/>
                <w:color w:val="000000"/>
                <w:kern w:val="0"/>
                <w:sz w:val="21"/>
                <w:szCs w:val="21"/>
              </w:rPr>
              <w:t>44.50%</w:t>
            </w:r>
          </w:p>
        </w:tc>
        <w:tc>
          <w:tcPr>
            <w:tcW w:w="1787" w:type="dxa"/>
            <w:tcBorders>
              <w:tl2br w:val="nil"/>
              <w:tr2bl w:val="nil"/>
            </w:tcBorders>
            <w:noWrap/>
            <w:tcMar>
              <w:top w:w="15" w:type="dxa"/>
              <w:left w:w="15" w:type="dxa"/>
              <w:right w:w="15" w:type="dxa"/>
            </w:tcMar>
            <w:vAlign w:val="center"/>
          </w:tcPr>
          <w:p>
            <w:pPr>
              <w:rPr>
                <w:rFonts w:eastAsia="宋体"/>
                <w:color w:val="000000"/>
                <w:sz w:val="21"/>
                <w:szCs w:val="21"/>
              </w:rPr>
            </w:pPr>
          </w:p>
        </w:tc>
        <w:tc>
          <w:tcPr>
            <w:tcW w:w="1338" w:type="dxa"/>
            <w:tcBorders>
              <w:tl2br w:val="nil"/>
              <w:tr2bl w:val="nil"/>
            </w:tcBorders>
            <w:noWrap/>
            <w:tcMar>
              <w:top w:w="15" w:type="dxa"/>
              <w:left w:w="15" w:type="dxa"/>
              <w:right w:w="15" w:type="dxa"/>
            </w:tcMar>
            <w:vAlign w:val="center"/>
          </w:tcPr>
          <w:p>
            <w:pPr>
              <w:widowControl/>
              <w:jc w:val="center"/>
              <w:textAlignment w:val="center"/>
              <w:rPr>
                <w:rFonts w:eastAsia="宋体"/>
                <w:color w:val="000000"/>
                <w:sz w:val="21"/>
                <w:szCs w:val="21"/>
              </w:rPr>
            </w:pPr>
          </w:p>
        </w:tc>
      </w:tr>
    </w:tbl>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协管员年龄偏大，较难适应高强度工作，也不利于人员规范化和沟通信息化管理。</w:t>
      </w:r>
    </w:p>
    <w:p>
      <w:pPr>
        <w:spacing w:line="560" w:lineRule="exact"/>
        <w:ind w:firstLine="640" w:firstLineChars="200"/>
        <w:outlineLvl w:val="0"/>
        <w:rPr>
          <w:rFonts w:hint="eastAsia" w:ascii="黑体" w:hAnsi="黑体" w:eastAsia="黑体" w:cs="黑体"/>
          <w:bCs/>
          <w:color w:val="000000"/>
          <w:sz w:val="32"/>
          <w:szCs w:val="21"/>
          <w:lang w:eastAsia="zh-CN"/>
        </w:rPr>
      </w:pPr>
      <w:r>
        <w:rPr>
          <w:rFonts w:hint="eastAsia" w:ascii="黑体" w:hAnsi="黑体" w:eastAsia="黑体" w:cs="黑体"/>
          <w:bCs/>
          <w:color w:val="000000"/>
          <w:sz w:val="32"/>
          <w:szCs w:val="21"/>
          <w:lang w:eastAsia="zh-CN"/>
        </w:rPr>
        <w:t>（七）评价结论及建议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评价工作组按照项目立项、资金分配、资金落实、组织管理、财务管理、项目产出、项目效益等七个方面进行评价，评价等次为“优”。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因协管员工作时间长、强度大，且工作逐渐精细化、信息化，建议严格按年龄限制遵照执行，并加强岗位要求和人员综合素质测评，确保人员人身安全和工作顺利开展。</w:t>
      </w:r>
    </w:p>
    <w:p/>
    <w:sectPr>
      <w:headerReference r:id="rId3" w:type="default"/>
      <w:footerReference r:id="rId4" w:type="default"/>
      <w:footerReference r:id="rId5"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8"/>
                              <w:sz w:val="28"/>
                              <w:szCs w:val="28"/>
                            </w:rPr>
                          </w:pPr>
                          <w:r>
                            <w:rPr>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Xl8HTLAQAAnAMAAA4AAAAAAAAAAQAgAAAAHgEAAGRycy9lMm9E&#10;b2MueG1sUEsFBgAAAAAGAAYAWQEAAFsFAAAAAA==&#10;">
              <v:fill on="f" focussize="0,0"/>
              <v:stroke on="f"/>
              <v:imagedata o:title=""/>
              <o:lock v:ext="edit" aspectratio="f"/>
              <v:textbox inset="0mm,0mm,0mm,0mm" style="mso-fit-shape-to-text:t;">
                <w:txbxContent>
                  <w:p>
                    <w:pPr>
                      <w:pStyle w:val="2"/>
                      <w:rPr>
                        <w:rStyle w:val="8"/>
                        <w:sz w:val="28"/>
                        <w:szCs w:val="28"/>
                      </w:rPr>
                    </w:pPr>
                    <w:r>
                      <w:rPr>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H+KQssBAACcAwAADgAAAGRycy9lMm9Eb2MueG1srVPNjtMwEL4j8Q6W&#10;79RpD6hE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h/ikLLAQAAnAMAAA4AAAAAAAAAAQAgAAAAHgEAAGRycy9lMm9E&#10;b2MueG1sUEsFBgAAAAAGAAYAWQEAAFsFAAAAAA==&#10;">
              <v:fill on="f" focussize="0,0"/>
              <v:stroke on="f"/>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E10E35"/>
    <w:multiLevelType w:val="multilevel"/>
    <w:tmpl w:val="66E10E3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ZDRlNzc0Yjc2Yzk3ZTJiMzBjZDEzZTAwOTc3OWUifQ=="/>
  </w:docVars>
  <w:rsids>
    <w:rsidRoot w:val="005677F0"/>
    <w:rsid w:val="00082407"/>
    <w:rsid w:val="00201C92"/>
    <w:rsid w:val="003743F9"/>
    <w:rsid w:val="00463B21"/>
    <w:rsid w:val="00522D09"/>
    <w:rsid w:val="005352C1"/>
    <w:rsid w:val="005677F0"/>
    <w:rsid w:val="008166A8"/>
    <w:rsid w:val="00841A01"/>
    <w:rsid w:val="008772CB"/>
    <w:rsid w:val="009F6DEF"/>
    <w:rsid w:val="00A4526F"/>
    <w:rsid w:val="00A86903"/>
    <w:rsid w:val="00B62899"/>
    <w:rsid w:val="00B94046"/>
    <w:rsid w:val="00E31E58"/>
    <w:rsid w:val="00E444DD"/>
    <w:rsid w:val="00E6411C"/>
    <w:rsid w:val="00F8097F"/>
    <w:rsid w:val="00FF2E77"/>
    <w:rsid w:val="064C6FF3"/>
    <w:rsid w:val="23270577"/>
    <w:rsid w:val="2A7850EE"/>
    <w:rsid w:val="50E61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12"/>
    <w:qFormat/>
    <w:uiPriority w:val="0"/>
    <w:pPr>
      <w:spacing w:before="240" w:after="60" w:line="312" w:lineRule="auto"/>
      <w:jc w:val="center"/>
      <w:outlineLvl w:val="1"/>
    </w:pPr>
    <w:rPr>
      <w:rFonts w:ascii="Cambria" w:hAnsi="Cambria" w:eastAsia="宋体"/>
      <w:b/>
      <w:bCs/>
      <w:kern w:val="28"/>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页眉 Char"/>
    <w:basedOn w:val="6"/>
    <w:link w:val="3"/>
    <w:qFormat/>
    <w:uiPriority w:val="0"/>
    <w:rPr>
      <w:sz w:val="18"/>
      <w:szCs w:val="18"/>
    </w:rPr>
  </w:style>
  <w:style w:type="character" w:customStyle="1" w:styleId="10">
    <w:name w:val="页脚 Char"/>
    <w:basedOn w:val="6"/>
    <w:link w:val="2"/>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副标题 Char"/>
    <w:basedOn w:val="6"/>
    <w:link w:val="4"/>
    <w:qFormat/>
    <w:uiPriority w:val="0"/>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2116</Words>
  <Characters>2288</Characters>
  <Lines>18</Lines>
  <Paragraphs>5</Paragraphs>
  <TotalTime>55</TotalTime>
  <ScaleCrop>false</ScaleCrop>
  <LinksUpToDate>false</LinksUpToDate>
  <CharactersWithSpaces>2290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2021-02-24T09:41:00Z</dcterms:created>
  <dc:creator>微软用户</dc:creator>
  <cp:lastModifiedBy>unicorn</cp:lastModifiedBy>
  <dcterms:modified xsi:type="dcterms:W3CDTF">2022-09-01T03:16:42Z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911715C76F7145EBA17ABC1DACFA6BDF</vt:lpwstr>
  </property>
</Properties>
</file>