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rFonts w:hint="eastAsia" w:ascii="Times New Roman" w:hAnsi="Times New Roman" w:eastAsia="方正大标宋简体" w:cs="Times New Roman"/>
          <w:color w:val="auto"/>
          <w:sz w:val="36"/>
          <w:szCs w:val="36"/>
          <w:lang w:eastAsia="zh-CN"/>
        </w:rPr>
      </w:pPr>
      <w:bookmarkStart w:id="2" w:name="_GoBack"/>
      <w:bookmarkEnd w:id="2"/>
      <w:r>
        <w:rPr>
          <w:rFonts w:hint="default" w:ascii="Times New Roman" w:hAnsi="Times New Roman" w:eastAsia="方正大标宋简体" w:cs="Times New Roman"/>
          <w:color w:val="auto"/>
          <w:sz w:val="36"/>
          <w:szCs w:val="36"/>
        </w:rPr>
        <w:t>2019年</w:t>
      </w:r>
      <w:r>
        <w:rPr>
          <w:rFonts w:hint="eastAsia" w:ascii="Times New Roman" w:hAnsi="Times New Roman" w:eastAsia="方正大标宋简体" w:cs="Times New Roman"/>
          <w:color w:val="auto"/>
          <w:sz w:val="36"/>
          <w:szCs w:val="36"/>
          <w:lang w:eastAsia="zh-CN"/>
        </w:rPr>
        <w:t>长沙市苗圃（长沙园林生态园）</w:t>
      </w:r>
      <w:r>
        <w:rPr>
          <w:rFonts w:hint="eastAsia" w:ascii="Times New Roman" w:hAnsi="Times New Roman" w:eastAsia="方正大标宋简体" w:cs="Times New Roman"/>
          <w:color w:val="auto"/>
          <w:sz w:val="36"/>
          <w:szCs w:val="36"/>
          <w:lang w:val="en-US" w:eastAsia="zh-CN"/>
        </w:rPr>
        <w:t xml:space="preserve"> </w:t>
      </w:r>
      <w:r>
        <w:rPr>
          <w:rFonts w:hint="default" w:ascii="Times New Roman" w:hAnsi="Times New Roman" w:eastAsia="方正大标宋简体" w:cs="Times New Roman"/>
          <w:color w:val="auto"/>
          <w:sz w:val="36"/>
          <w:szCs w:val="36"/>
        </w:rPr>
        <w:t>部门决算</w:t>
      </w:r>
      <w:r>
        <w:rPr>
          <w:rFonts w:hint="eastAsia" w:ascii="Times New Roman" w:hAnsi="Times New Roman" w:eastAsia="方正大标宋简体" w:cs="Times New Roman"/>
          <w:color w:val="auto"/>
          <w:sz w:val="36"/>
          <w:szCs w:val="36"/>
          <w:lang w:eastAsia="zh-CN"/>
        </w:rPr>
        <w:t>公开</w:t>
      </w:r>
    </w:p>
    <w:p>
      <w:pPr>
        <w:pStyle w:val="11"/>
        <w:jc w:val="both"/>
        <w:rPr>
          <w:rFonts w:hint="default" w:ascii="Times New Roman" w:hAnsi="Times New Roman" w:eastAsia="方正大标宋简体" w:cs="Times New Roman"/>
          <w:color w:val="auto"/>
          <w:sz w:val="36"/>
          <w:szCs w:val="36"/>
          <w:lang w:eastAsia="zh-CN"/>
        </w:rPr>
      </w:pPr>
    </w:p>
    <w:p>
      <w:pPr>
        <w:keepNext w:val="0"/>
        <w:keepLines w:val="0"/>
        <w:pageBreakBefore w:val="0"/>
        <w:widowControl w:val="0"/>
        <w:kinsoku/>
        <w:wordWrap/>
        <w:overflowPunct/>
        <w:topLinePunct w:val="0"/>
        <w:bidi w:val="0"/>
        <w:snapToGrid/>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大标宋简体" w:cs="Times New Roman"/>
          <w:color w:val="auto"/>
          <w:sz w:val="32"/>
          <w:szCs w:val="32"/>
        </w:rPr>
        <w:t>目</w:t>
      </w:r>
      <w:r>
        <w:rPr>
          <w:rFonts w:hint="default" w:ascii="Times New Roman" w:hAnsi="Times New Roman" w:eastAsia="方正大标宋简体" w:cs="Times New Roman"/>
          <w:color w:val="auto"/>
          <w:sz w:val="32"/>
          <w:szCs w:val="32"/>
          <w:lang w:eastAsia="zh-CN"/>
        </w:rPr>
        <w:t>　</w:t>
      </w:r>
      <w:r>
        <w:rPr>
          <w:rFonts w:hint="default" w:ascii="Times New Roman" w:hAnsi="Times New Roman" w:eastAsia="方正大标宋简体" w:cs="Times New Roman"/>
          <w:color w:val="auto"/>
          <w:sz w:val="32"/>
          <w:szCs w:val="32"/>
        </w:rPr>
        <w:t>录</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黑体" w:cs="Times New Roman"/>
          <w:b/>
          <w:bCs w:val="0"/>
          <w:color w:val="auto"/>
          <w:sz w:val="32"/>
          <w:szCs w:val="32"/>
        </w:rPr>
      </w:pPr>
      <w:r>
        <w:rPr>
          <w:rFonts w:hint="default" w:ascii="Times New Roman" w:hAnsi="Times New Roman" w:eastAsia="黑体" w:cs="Times New Roman"/>
          <w:b/>
          <w:bCs w:val="0"/>
          <w:color w:val="auto"/>
          <w:sz w:val="32"/>
          <w:szCs w:val="32"/>
        </w:rPr>
        <w:t>第一部分</w:t>
      </w:r>
      <w:r>
        <w:rPr>
          <w:rFonts w:hint="default" w:ascii="Times New Roman" w:hAnsi="Times New Roman" w:cs="Times New Roman"/>
          <w:b/>
          <w:bCs w:val="0"/>
          <w:color w:val="auto"/>
          <w:sz w:val="32"/>
          <w:szCs w:val="32"/>
          <w:lang w:eastAsia="zh-CN"/>
        </w:rPr>
        <w:t>　</w:t>
      </w:r>
      <w:r>
        <w:rPr>
          <w:rFonts w:hint="eastAsia" w:ascii="Times New Roman" w:hAnsi="Times New Roman" w:eastAsia="黑体" w:cs="Times New Roman"/>
          <w:b/>
          <w:bCs w:val="0"/>
          <w:color w:val="auto"/>
          <w:sz w:val="32"/>
          <w:szCs w:val="32"/>
          <w:lang w:eastAsia="zh-CN"/>
        </w:rPr>
        <w:t>长沙市苗圃（长沙园林生态园</w:t>
      </w:r>
      <w:r>
        <w:rPr>
          <w:rFonts w:hint="eastAsia" w:ascii="Times New Roman" w:hAnsi="Times New Roman" w:cs="Times New Roman"/>
          <w:b/>
          <w:bCs w:val="0"/>
          <w:color w:val="auto"/>
          <w:sz w:val="32"/>
          <w:szCs w:val="32"/>
          <w:lang w:eastAsia="zh-CN"/>
        </w:rPr>
        <w:t>）</w:t>
      </w:r>
      <w:r>
        <w:rPr>
          <w:rFonts w:hint="default" w:ascii="Times New Roman" w:hAnsi="Times New Roman" w:eastAsia="黑体" w:cs="Times New Roman"/>
          <w:b/>
          <w:bCs w:val="0"/>
          <w:color w:val="auto"/>
          <w:sz w:val="32"/>
          <w:szCs w:val="32"/>
        </w:rPr>
        <w:t>部门概况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部门职责</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、机构设置</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黑体" w:cs="Times New Roman"/>
          <w:b/>
          <w:bCs w:val="0"/>
          <w:color w:val="auto"/>
          <w:sz w:val="32"/>
          <w:szCs w:val="32"/>
        </w:rPr>
      </w:pPr>
      <w:r>
        <w:rPr>
          <w:rFonts w:hint="default" w:ascii="Times New Roman" w:hAnsi="Times New Roman" w:eastAsia="黑体" w:cs="Times New Roman"/>
          <w:b/>
          <w:bCs w:val="0"/>
          <w:color w:val="auto"/>
          <w:sz w:val="32"/>
          <w:szCs w:val="32"/>
        </w:rPr>
        <w:t>第二部分</w:t>
      </w:r>
      <w:r>
        <w:rPr>
          <w:rFonts w:hint="default" w:ascii="Times New Roman" w:hAnsi="Times New Roman" w:cs="Times New Roman"/>
          <w:b/>
          <w:bCs w:val="0"/>
          <w:color w:val="auto"/>
          <w:sz w:val="32"/>
          <w:szCs w:val="32"/>
          <w:lang w:eastAsia="zh-CN"/>
        </w:rPr>
        <w:t>　</w:t>
      </w:r>
      <w:r>
        <w:rPr>
          <w:rFonts w:hint="default" w:ascii="Times New Roman" w:hAnsi="Times New Roman" w:eastAsia="黑体" w:cs="Times New Roman"/>
          <w:b/>
          <w:bCs w:val="0"/>
          <w:color w:val="auto"/>
          <w:sz w:val="32"/>
          <w:szCs w:val="32"/>
        </w:rPr>
        <w:t>2019年度部门决算表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部门收支</w:t>
      </w:r>
      <w:r>
        <w:rPr>
          <w:rFonts w:hint="default" w:ascii="Times New Roman" w:hAnsi="Times New Roman" w:eastAsia="仿宋_GB2312" w:cs="Times New Roman"/>
          <w:color w:val="auto"/>
          <w:sz w:val="32"/>
          <w:szCs w:val="32"/>
        </w:rPr>
        <w:t>决算总表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收入决算表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、财政拨款收支决算总表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、一般公共预算财政拨款支出决算表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、一般公共预算财政拨款基本支出决算表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、一般公共预算财政拨款“三公”经费支出决算表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、政府性基金预算财政拨款收入支出决算表</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黑体" w:cs="Times New Roman"/>
          <w:b/>
          <w:bCs w:val="0"/>
          <w:color w:val="auto"/>
          <w:sz w:val="32"/>
          <w:szCs w:val="32"/>
        </w:rPr>
      </w:pPr>
      <w:r>
        <w:rPr>
          <w:rFonts w:hint="default" w:ascii="Times New Roman" w:hAnsi="Times New Roman" w:eastAsia="黑体" w:cs="Times New Roman"/>
          <w:b/>
          <w:bCs w:val="0"/>
          <w:color w:val="auto"/>
          <w:sz w:val="32"/>
          <w:szCs w:val="32"/>
        </w:rPr>
        <w:t>第三部分</w:t>
      </w:r>
      <w:r>
        <w:rPr>
          <w:rFonts w:hint="default" w:ascii="Times New Roman" w:hAnsi="Times New Roman" w:cs="Times New Roman"/>
          <w:b/>
          <w:bCs w:val="0"/>
          <w:color w:val="auto"/>
          <w:sz w:val="32"/>
          <w:szCs w:val="32"/>
          <w:lang w:eastAsia="zh-CN"/>
        </w:rPr>
        <w:t>　</w:t>
      </w:r>
      <w:r>
        <w:rPr>
          <w:rFonts w:hint="default" w:ascii="Times New Roman" w:hAnsi="Times New Roman" w:eastAsia="黑体" w:cs="Times New Roman"/>
          <w:b/>
          <w:bCs w:val="0"/>
          <w:color w:val="auto"/>
          <w:sz w:val="32"/>
          <w:szCs w:val="32"/>
        </w:rPr>
        <w:t>2019年度部门决算情况说明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、收入支出决算总体情况说明</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、收入决算情况说明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rPr>
        <w:t>、财政拨款收入支出决算总体情况说明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rPr>
        <w:t>、一般公共预算财政拨款基本支出决算情况说明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rPr>
        <w:t>、一般公共预算财政拨款三公经费支出决算情况说明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、预算绩效情况说明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、其他重要事项情况说明</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黑体" w:cs="Times New Roman"/>
          <w:b/>
          <w:bCs w:val="0"/>
          <w:color w:val="auto"/>
          <w:sz w:val="32"/>
          <w:szCs w:val="32"/>
        </w:rPr>
      </w:pPr>
      <w:r>
        <w:rPr>
          <w:rFonts w:hint="default" w:ascii="Times New Roman" w:hAnsi="Times New Roman" w:eastAsia="黑体" w:cs="Times New Roman"/>
          <w:b/>
          <w:bCs w:val="0"/>
          <w:color w:val="auto"/>
          <w:sz w:val="32"/>
          <w:szCs w:val="32"/>
        </w:rPr>
        <w:t>第四部分</w:t>
      </w:r>
      <w:r>
        <w:rPr>
          <w:rFonts w:hint="default" w:ascii="Times New Roman" w:hAnsi="Times New Roman" w:cs="Times New Roman"/>
          <w:b/>
          <w:bCs w:val="0"/>
          <w:color w:val="auto"/>
          <w:sz w:val="32"/>
          <w:szCs w:val="32"/>
          <w:lang w:eastAsia="zh-CN"/>
        </w:rPr>
        <w:t>　</w:t>
      </w:r>
      <w:r>
        <w:rPr>
          <w:rFonts w:hint="default" w:ascii="Times New Roman" w:hAnsi="Times New Roman" w:eastAsia="黑体" w:cs="Times New Roman"/>
          <w:b/>
          <w:bCs w:val="0"/>
          <w:color w:val="auto"/>
          <w:sz w:val="32"/>
          <w:szCs w:val="32"/>
        </w:rPr>
        <w:t>名词解释</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黑体" w:cs="Times New Roman"/>
          <w:b/>
          <w:bCs w:val="0"/>
          <w:color w:val="auto"/>
          <w:sz w:val="32"/>
          <w:szCs w:val="32"/>
        </w:rPr>
      </w:pPr>
      <w:r>
        <w:rPr>
          <w:rFonts w:hint="default" w:ascii="Times New Roman" w:hAnsi="Times New Roman" w:eastAsia="黑体" w:cs="Times New Roman"/>
          <w:b/>
          <w:bCs w:val="0"/>
          <w:color w:val="auto"/>
          <w:sz w:val="32"/>
          <w:szCs w:val="32"/>
        </w:rPr>
        <w:t>第五部分</w:t>
      </w:r>
      <w:r>
        <w:rPr>
          <w:rFonts w:hint="default" w:ascii="Times New Roman" w:hAnsi="Times New Roman" w:cs="Times New Roman"/>
          <w:b/>
          <w:bCs w:val="0"/>
          <w:color w:val="auto"/>
          <w:sz w:val="32"/>
          <w:szCs w:val="32"/>
          <w:lang w:eastAsia="zh-CN"/>
        </w:rPr>
        <w:t>　</w:t>
      </w:r>
      <w:r>
        <w:rPr>
          <w:rFonts w:hint="default" w:ascii="Times New Roman" w:hAnsi="Times New Roman" w:eastAsia="黑体" w:cs="Times New Roman"/>
          <w:b/>
          <w:bCs w:val="0"/>
          <w:color w:val="auto"/>
          <w:sz w:val="32"/>
          <w:szCs w:val="32"/>
        </w:rPr>
        <w:t>附件</w:t>
      </w:r>
    </w:p>
    <w:p>
      <w:pPr>
        <w:keepNext w:val="0"/>
        <w:keepLines w:val="0"/>
        <w:pageBreakBefore w:val="0"/>
        <w:widowControl w:val="0"/>
        <w:kinsoku/>
        <w:wordWrap/>
        <w:overflowPunct/>
        <w:topLinePunct w:val="0"/>
        <w:bidi w:val="0"/>
        <w:snapToGrid/>
        <w:spacing w:line="600" w:lineRule="exact"/>
        <w:ind w:firstLine="1446" w:firstLineChars="200"/>
        <w:textAlignment w:val="auto"/>
        <w:rPr>
          <w:rFonts w:hint="default" w:ascii="Times New Roman" w:hAnsi="Times New Roman" w:cs="Times New Roman"/>
          <w:color w:val="auto"/>
          <w:sz w:val="84"/>
          <w:szCs w:val="84"/>
        </w:rPr>
      </w:pPr>
      <w:r>
        <w:rPr>
          <w:rFonts w:hint="default" w:ascii="Times New Roman" w:hAnsi="Times New Roman" w:cs="Times New Roman"/>
          <w:b/>
          <w:bCs w:val="0"/>
          <w:color w:val="auto"/>
          <w:sz w:val="72"/>
          <w:szCs w:val="72"/>
        </w:rPr>
        <w:br w:type="page"/>
      </w:r>
    </w:p>
    <w:p>
      <w:pPr>
        <w:pStyle w:val="11"/>
        <w:jc w:val="both"/>
        <w:rPr>
          <w:rFonts w:hint="default" w:ascii="Times New Roman" w:hAnsi="Times New Roman" w:eastAsia="方正大标宋简体" w:cs="Times New Roman"/>
          <w:color w:val="auto"/>
          <w:sz w:val="36"/>
          <w:szCs w:val="36"/>
        </w:rPr>
      </w:pPr>
      <w:r>
        <w:rPr>
          <w:rFonts w:hint="default" w:ascii="Times New Roman" w:hAnsi="Times New Roman" w:eastAsia="方正大标宋简体" w:cs="Times New Roman"/>
          <w:color w:val="auto"/>
          <w:sz w:val="36"/>
          <w:szCs w:val="36"/>
        </w:rPr>
        <w:t>第一部分</w:t>
      </w:r>
      <w:r>
        <w:rPr>
          <w:rFonts w:hint="eastAsia" w:ascii="Times New Roman" w:hAnsi="Times New Roman" w:eastAsia="方正大标宋简体" w:cs="Times New Roman"/>
          <w:color w:val="auto"/>
          <w:sz w:val="36"/>
          <w:szCs w:val="36"/>
          <w:lang w:val="en-US" w:eastAsia="zh-CN"/>
        </w:rPr>
        <w:t xml:space="preserve"> </w:t>
      </w:r>
      <w:r>
        <w:rPr>
          <w:rFonts w:hint="eastAsia" w:ascii="Times New Roman" w:hAnsi="Times New Roman" w:eastAsia="方正大标宋简体" w:cs="Times New Roman"/>
          <w:color w:val="auto"/>
          <w:sz w:val="36"/>
          <w:szCs w:val="36"/>
          <w:lang w:eastAsia="zh-CN"/>
        </w:rPr>
        <w:t>长沙市苗圃（长沙园林生态园）部门</w:t>
      </w:r>
      <w:r>
        <w:rPr>
          <w:rFonts w:hint="default" w:ascii="Times New Roman" w:hAnsi="Times New Roman" w:eastAsia="方正大标宋简体" w:cs="Times New Roman"/>
          <w:color w:val="auto"/>
          <w:sz w:val="36"/>
          <w:szCs w:val="36"/>
        </w:rPr>
        <w:t>概况</w:t>
      </w:r>
    </w:p>
    <w:p>
      <w:pPr>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eastAsia="zh-CN"/>
        </w:rPr>
        <w:t>一、</w:t>
      </w:r>
      <w:r>
        <w:rPr>
          <w:rFonts w:hint="default" w:ascii="Times New Roman" w:hAnsi="Times New Roman" w:eastAsia="黑体" w:cs="Times New Roman"/>
          <w:color w:val="auto"/>
          <w:kern w:val="0"/>
          <w:sz w:val="32"/>
          <w:szCs w:val="32"/>
        </w:rPr>
        <w:t>部门职责</w:t>
      </w:r>
    </w:p>
    <w:p>
      <w:pPr>
        <w:pStyle w:val="4"/>
        <w:keepNext w:val="0"/>
        <w:keepLines w:val="0"/>
        <w:widowControl/>
        <w:suppressLineNumbers w:val="0"/>
        <w:spacing w:before="30" w:beforeAutospacing="0" w:after="30" w:afterAutospacing="0" w:line="420" w:lineRule="atLeast"/>
        <w:ind w:left="0" w:firstLine="42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（一）职能职责：负责花卉苗木的科研生产与推广、花卉节会展览、园林绿化工程、生态休闲、旅游服务、会务接待、圃内设施的维护与管理。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黑体" w:cs="Times New Roman"/>
          <w:color w:val="auto"/>
          <w:kern w:val="0"/>
          <w:sz w:val="32"/>
          <w:szCs w:val="32"/>
          <w:lang w:eastAsia="zh-CN"/>
        </w:rPr>
      </w:pPr>
      <w:r>
        <w:rPr>
          <w:rFonts w:hint="default" w:ascii="Times New Roman" w:hAnsi="Times New Roman" w:eastAsia="黑体" w:cs="Times New Roman"/>
          <w:color w:val="auto"/>
          <w:kern w:val="0"/>
          <w:sz w:val="32"/>
          <w:szCs w:val="32"/>
          <w:lang w:eastAsia="zh-CN"/>
        </w:rPr>
        <w:t>二、机构设置及决算单位构成</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Cs/>
          <w:color w:val="auto"/>
          <w:kern w:val="0"/>
          <w:sz w:val="32"/>
          <w:szCs w:val="32"/>
        </w:rPr>
        <w:t>（一）内</w:t>
      </w:r>
      <w:r>
        <w:rPr>
          <w:rFonts w:hint="eastAsia" w:ascii="仿宋" w:hAnsi="仿宋" w:eastAsia="仿宋" w:cs="仿宋"/>
          <w:color w:val="auto"/>
          <w:kern w:val="0"/>
          <w:sz w:val="32"/>
          <w:szCs w:val="32"/>
          <w:lang w:eastAsia="zh-CN"/>
        </w:rPr>
        <w:t>设机构设置。长沙市苗圃（长沙园林生态园）内设机构包括：</w:t>
      </w:r>
      <w:r>
        <w:rPr>
          <w:rFonts w:hint="eastAsia" w:ascii="仿宋" w:hAnsi="仿宋" w:eastAsia="仿宋" w:cs="仿宋"/>
          <w:sz w:val="32"/>
          <w:szCs w:val="32"/>
        </w:rPr>
        <w:t>办公室</w:t>
      </w:r>
      <w:r>
        <w:rPr>
          <w:rFonts w:hint="eastAsia" w:ascii="仿宋" w:hAnsi="仿宋" w:eastAsia="仿宋" w:cs="仿宋"/>
          <w:sz w:val="32"/>
          <w:szCs w:val="32"/>
          <w:lang w:eastAsia="zh-CN"/>
        </w:rPr>
        <w:t>、</w:t>
      </w:r>
      <w:r>
        <w:rPr>
          <w:rFonts w:hint="eastAsia" w:ascii="仿宋" w:hAnsi="仿宋" w:eastAsia="仿宋" w:cs="仿宋"/>
          <w:sz w:val="32"/>
          <w:szCs w:val="32"/>
        </w:rPr>
        <w:t>人事科、保卫科、</w:t>
      </w:r>
      <w:r>
        <w:rPr>
          <w:rFonts w:hint="eastAsia" w:ascii="仿宋" w:hAnsi="仿宋" w:eastAsia="仿宋" w:cs="仿宋"/>
          <w:sz w:val="32"/>
          <w:szCs w:val="32"/>
          <w:lang w:eastAsia="zh-CN"/>
        </w:rPr>
        <w:t>计财</w:t>
      </w:r>
      <w:r>
        <w:rPr>
          <w:rFonts w:hint="eastAsia" w:ascii="仿宋" w:hAnsi="仿宋" w:eastAsia="仿宋" w:cs="仿宋"/>
          <w:sz w:val="32"/>
          <w:szCs w:val="32"/>
        </w:rPr>
        <w:t>科、经营科、绿化科、纪检监察室。</w:t>
      </w:r>
    </w:p>
    <w:p>
      <w:pPr>
        <w:pStyle w:val="12"/>
        <w:ind w:left="360" w:firstLine="0" w:firstLineChars="0"/>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（1）办公室：主持办公室全面工作，组织并参与单位有关文件、政策的调研、起草、审核工作；负责园内基础设施维修维护等。</w:t>
      </w:r>
    </w:p>
    <w:p>
      <w:pPr>
        <w:pStyle w:val="12"/>
        <w:ind w:left="360" w:firstLine="0" w:firstLineChars="0"/>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（2）人事科：负责单位的机构编制、干部管理、劳动工资和职称管理；制定职工工资表、负责合同签订、职工年度考核等。</w:t>
      </w:r>
    </w:p>
    <w:p>
      <w:pPr>
        <w:pStyle w:val="12"/>
        <w:ind w:left="360" w:firstLine="0" w:firstLineChars="0"/>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（3）保卫科：负责园内的安保工作，确保公园日常工作安全有序的进行。</w:t>
      </w:r>
    </w:p>
    <w:p>
      <w:pPr>
        <w:pStyle w:val="12"/>
        <w:ind w:left="360" w:firstLine="0" w:firstLineChars="0"/>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（4）计财科：负责单位财务、会计核算、资产管理、负责工资发放、公积金、社会保险、税费缴纳等，负责资产年度预算、决算，并协助各科室完成业务工作的项目申报、资金申请和用款计划编制等。</w:t>
      </w:r>
    </w:p>
    <w:p>
      <w:pPr>
        <w:pStyle w:val="12"/>
        <w:ind w:left="360" w:firstLine="0" w:firstLineChars="0"/>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（5）经营科：负责对园内商户的日常管理和租金上缴；负责单位杜鹃花节、水上乐园项目以及重大节庆日的宣传和运营。</w:t>
      </w:r>
    </w:p>
    <w:p>
      <w:pPr>
        <w:pStyle w:val="12"/>
        <w:ind w:left="360" w:firstLine="0" w:firstLineChars="0"/>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（6）绿化科：负责园内的绿化工作，节庆日花卉摆放等。</w:t>
      </w:r>
    </w:p>
    <w:p>
      <w:pPr>
        <w:pStyle w:val="12"/>
        <w:ind w:left="360" w:firstLine="0" w:firstLineChars="0"/>
        <w:rPr>
          <w:rFonts w:hint="eastAsia" w:ascii="仿宋" w:hAnsi="仿宋" w:eastAsia="仿宋" w:cs="仿宋"/>
          <w:sz w:val="32"/>
          <w:szCs w:val="32"/>
          <w:lang w:eastAsia="zh-CN"/>
        </w:rPr>
      </w:pPr>
      <w:r>
        <w:rPr>
          <w:rFonts w:hint="eastAsia" w:ascii="仿宋" w:hAnsi="仿宋" w:eastAsia="仿宋" w:cs="仿宋"/>
          <w:bCs/>
          <w:color w:val="auto"/>
          <w:kern w:val="0"/>
          <w:sz w:val="32"/>
          <w:szCs w:val="32"/>
          <w:lang w:val="en-US" w:eastAsia="zh-CN" w:bidi="ar-SA"/>
        </w:rPr>
        <w:t>（7）监察室：负责对单位职工违反纪律、法律行为的监督和检举等。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（二）决算单位构成。长沙市苗圃（长沙园林生态园）2019年部门决算汇总公开单位构成包括：长沙市苗圃（长沙园林生态园）本级，没有其他二级预算单位。</w:t>
      </w:r>
    </w:p>
    <w:p>
      <w:pPr>
        <w:pStyle w:val="4"/>
        <w:keepNext w:val="0"/>
        <w:keepLines w:val="0"/>
        <w:widowControl/>
        <w:suppressLineNumbers w:val="0"/>
        <w:spacing w:before="30" w:beforeAutospacing="0" w:after="30" w:afterAutospacing="0" w:line="420" w:lineRule="atLeast"/>
        <w:ind w:left="0" w:firstLine="420"/>
        <w:jc w:val="left"/>
        <w:rPr>
          <w:rFonts w:hint="eastAsia" w:ascii="宋体" w:hAnsi="宋体" w:eastAsia="宋体" w:cs="宋体"/>
          <w:i w:val="0"/>
          <w:iCs w:val="0"/>
          <w:caps w:val="0"/>
          <w:color w:val="000000"/>
          <w:spacing w:val="0"/>
          <w:sz w:val="30"/>
          <w:szCs w:val="30"/>
          <w:lang w:eastAsia="zh-CN"/>
        </w:rPr>
      </w:pPr>
      <w:r>
        <w:rPr>
          <w:rFonts w:hint="eastAsia" w:ascii="仿宋" w:hAnsi="仿宋" w:eastAsia="仿宋" w:cs="仿宋"/>
          <w:color w:val="auto"/>
          <w:kern w:val="0"/>
          <w:sz w:val="32"/>
          <w:szCs w:val="32"/>
          <w:lang w:eastAsia="zh-CN"/>
        </w:rPr>
        <w:t>（三）人员情况。本部门编制数98人，</w:t>
      </w:r>
      <w:r>
        <w:rPr>
          <w:rFonts w:hint="eastAsia" w:ascii="仿宋" w:hAnsi="仿宋" w:eastAsia="仿宋" w:cs="仿宋"/>
          <w:color w:val="auto"/>
          <w:kern w:val="0"/>
          <w:sz w:val="32"/>
          <w:szCs w:val="32"/>
          <w:lang w:val="en-US" w:eastAsia="zh-CN"/>
        </w:rPr>
        <w:t>2019年末实有</w:t>
      </w:r>
      <w:r>
        <w:rPr>
          <w:rFonts w:hint="eastAsia" w:ascii="仿宋" w:hAnsi="仿宋" w:eastAsia="仿宋" w:cs="仿宋"/>
          <w:color w:val="auto"/>
          <w:kern w:val="0"/>
          <w:sz w:val="32"/>
          <w:szCs w:val="32"/>
          <w:lang w:eastAsia="zh-CN"/>
        </w:rPr>
        <w:t>在职人数</w:t>
      </w:r>
      <w:r>
        <w:rPr>
          <w:rFonts w:hint="eastAsia" w:ascii="仿宋" w:hAnsi="仿宋" w:eastAsia="仿宋" w:cs="仿宋"/>
          <w:color w:val="auto"/>
          <w:kern w:val="0"/>
          <w:sz w:val="32"/>
          <w:szCs w:val="32"/>
          <w:lang w:val="en-US" w:eastAsia="zh-CN"/>
        </w:rPr>
        <w:t>85</w:t>
      </w:r>
      <w:r>
        <w:rPr>
          <w:rFonts w:hint="eastAsia" w:ascii="仿宋" w:hAnsi="仿宋" w:eastAsia="仿宋" w:cs="仿宋"/>
          <w:color w:val="auto"/>
          <w:kern w:val="0"/>
          <w:sz w:val="32"/>
          <w:szCs w:val="32"/>
          <w:lang w:eastAsia="zh-CN"/>
        </w:rPr>
        <w:t>人，其中：在岗人数</w:t>
      </w:r>
      <w:r>
        <w:rPr>
          <w:rFonts w:hint="eastAsia" w:ascii="仿宋" w:hAnsi="仿宋" w:eastAsia="仿宋" w:cs="仿宋"/>
          <w:color w:val="auto"/>
          <w:kern w:val="0"/>
          <w:sz w:val="32"/>
          <w:szCs w:val="32"/>
          <w:lang w:val="en-US" w:eastAsia="zh-CN"/>
        </w:rPr>
        <w:t>85</w:t>
      </w:r>
      <w:r>
        <w:rPr>
          <w:rFonts w:hint="eastAsia" w:ascii="仿宋" w:hAnsi="仿宋" w:eastAsia="仿宋" w:cs="仿宋"/>
          <w:color w:val="auto"/>
          <w:kern w:val="0"/>
          <w:sz w:val="32"/>
          <w:szCs w:val="32"/>
          <w:lang w:eastAsia="zh-CN"/>
        </w:rPr>
        <w:t>人;编外长期聘用人员2</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lang w:eastAsia="zh-CN"/>
        </w:rPr>
        <w:t>人;离退休人数</w:t>
      </w:r>
      <w:r>
        <w:rPr>
          <w:rFonts w:hint="eastAsia" w:ascii="仿宋" w:hAnsi="仿宋" w:eastAsia="仿宋" w:cs="仿宋"/>
          <w:color w:val="auto"/>
          <w:kern w:val="0"/>
          <w:sz w:val="32"/>
          <w:szCs w:val="32"/>
          <w:lang w:val="en-US" w:eastAsia="zh-CN"/>
        </w:rPr>
        <w:t>136</w:t>
      </w:r>
      <w:r>
        <w:rPr>
          <w:rFonts w:hint="eastAsia" w:ascii="仿宋" w:hAnsi="仿宋" w:eastAsia="仿宋" w:cs="仿宋"/>
          <w:color w:val="auto"/>
          <w:kern w:val="0"/>
          <w:sz w:val="32"/>
          <w:szCs w:val="32"/>
          <w:lang w:eastAsia="zh-CN"/>
        </w:rPr>
        <w:t>人，其中离休人员0人，退休人员1</w:t>
      </w:r>
      <w:r>
        <w:rPr>
          <w:rFonts w:hint="eastAsia" w:ascii="仿宋" w:hAnsi="仿宋" w:eastAsia="仿宋" w:cs="仿宋"/>
          <w:color w:val="auto"/>
          <w:kern w:val="0"/>
          <w:sz w:val="32"/>
          <w:szCs w:val="32"/>
          <w:lang w:val="en-US" w:eastAsia="zh-CN"/>
        </w:rPr>
        <w:t>36</w:t>
      </w:r>
      <w:r>
        <w:rPr>
          <w:rFonts w:hint="eastAsia" w:ascii="仿宋" w:hAnsi="仿宋" w:eastAsia="仿宋" w:cs="仿宋"/>
          <w:color w:val="auto"/>
          <w:kern w:val="0"/>
          <w:sz w:val="32"/>
          <w:szCs w:val="32"/>
          <w:lang w:eastAsia="zh-CN"/>
        </w:rPr>
        <w:t>人</w:t>
      </w:r>
      <w:r>
        <w:rPr>
          <w:rFonts w:hint="eastAsia" w:ascii="宋体" w:hAnsi="宋体" w:eastAsia="宋体" w:cs="宋体"/>
          <w:i w:val="0"/>
          <w:iCs w:val="0"/>
          <w:caps w:val="0"/>
          <w:color w:val="000000"/>
          <w:spacing w:val="0"/>
          <w:sz w:val="30"/>
          <w:szCs w:val="30"/>
        </w:rPr>
        <w:t>。</w:t>
      </w:r>
    </w:p>
    <w:p>
      <w:pPr>
        <w:pStyle w:val="11"/>
        <w:jc w:val="both"/>
        <w:rPr>
          <w:rFonts w:hint="default" w:ascii="Times New Roman" w:hAnsi="Times New Roman" w:eastAsia="方正大标宋简体" w:cs="Times New Roman"/>
          <w:color w:val="auto"/>
          <w:sz w:val="36"/>
          <w:szCs w:val="36"/>
        </w:rPr>
      </w:pPr>
      <w:r>
        <w:rPr>
          <w:rFonts w:hint="default" w:ascii="Times New Roman" w:hAnsi="Times New Roman" w:eastAsia="方正大标宋简体" w:cs="Times New Roman"/>
          <w:color w:val="auto"/>
          <w:sz w:val="36"/>
          <w:szCs w:val="36"/>
        </w:rPr>
        <w:t>第二部分</w:t>
      </w:r>
      <w:r>
        <w:rPr>
          <w:rFonts w:hint="default" w:ascii="Times New Roman" w:hAnsi="Times New Roman" w:eastAsia="方正大标宋简体" w:cs="Times New Roman"/>
          <w:color w:val="auto"/>
          <w:sz w:val="36"/>
          <w:szCs w:val="36"/>
          <w:lang w:eastAsia="zh-CN"/>
        </w:rPr>
        <w:t>　</w:t>
      </w:r>
      <w:r>
        <w:rPr>
          <w:rFonts w:hint="eastAsia" w:ascii="Times New Roman" w:hAnsi="Times New Roman" w:eastAsia="方正大标宋简体" w:cs="Times New Roman"/>
          <w:color w:val="auto"/>
          <w:sz w:val="36"/>
          <w:szCs w:val="36"/>
          <w:lang w:eastAsia="zh-CN"/>
        </w:rPr>
        <w:t>长沙市苗圃（长沙园林生态园）</w:t>
      </w:r>
      <w:r>
        <w:rPr>
          <w:rFonts w:hint="default" w:ascii="Times New Roman" w:hAnsi="Times New Roman" w:eastAsia="方正大标宋简体" w:cs="Times New Roman"/>
          <w:color w:val="auto"/>
          <w:sz w:val="36"/>
          <w:szCs w:val="36"/>
        </w:rPr>
        <w:t>部门决算表</w:t>
      </w:r>
    </w:p>
    <w:p>
      <w:pPr>
        <w:jc w:val="left"/>
        <w:rPr>
          <w:rFonts w:hint="default" w:ascii="Times New Roman" w:hAnsi="Times New Roman" w:cs="Times New Roman"/>
          <w:color w:val="auto"/>
          <w:sz w:val="32"/>
          <w:szCs w:val="32"/>
        </w:rPr>
      </w:pPr>
    </w:p>
    <w:p>
      <w:pPr>
        <w:jc w:val="left"/>
        <w:rPr>
          <w:rFonts w:hint="default" w:ascii="Times New Roman" w:hAnsi="Times New Roman" w:cs="Times New Roman"/>
          <w:color w:val="auto"/>
          <w:sz w:val="32"/>
          <w:szCs w:val="32"/>
        </w:rPr>
        <w:sectPr>
          <w:footerReference r:id="rId3" w:type="default"/>
          <w:pgSz w:w="11906" w:h="16838"/>
          <w:pgMar w:top="1701" w:right="1587" w:bottom="1701" w:left="1587"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lang w:eastAsia="zh-CN"/>
        </w:rPr>
        <w:t>部门</w:t>
      </w:r>
      <w:r>
        <w:rPr>
          <w:rFonts w:hint="default" w:ascii="Times New Roman" w:hAnsi="Times New Roman" w:eastAsia="方正大标宋简体" w:cs="Times New Roman"/>
          <w:color w:val="auto"/>
          <w:sz w:val="44"/>
          <w:szCs w:val="44"/>
        </w:rPr>
        <w:t>收支决算总表</w:t>
      </w:r>
    </w:p>
    <w:p>
      <w:pPr>
        <w:keepNext w:val="0"/>
        <w:keepLines w:val="0"/>
        <w:pageBreakBefore w:val="0"/>
        <w:widowControl/>
        <w:kinsoku/>
        <w:wordWrap/>
        <w:overflowPunct/>
        <w:topLinePunct w:val="0"/>
        <w:autoSpaceDE/>
        <w:autoSpaceDN/>
        <w:bidi w:val="0"/>
        <w:adjustRightInd/>
        <w:snapToGrid/>
        <w:ind w:left="12438" w:right="0" w:hanging="12438" w:hangingChars="5900"/>
        <w:jc w:val="left"/>
        <w:textAlignment w:val="auto"/>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仿宋_GB2312" w:cs="Times New Roman"/>
          <w:color w:val="auto"/>
          <w:kern w:val="0"/>
          <w:sz w:val="21"/>
          <w:szCs w:val="21"/>
          <w:lang w:eastAsia="zh-CN"/>
        </w:rPr>
        <w:t>长沙市苗圃（长沙园林生态园）</w:t>
      </w:r>
      <w:r>
        <w:rPr>
          <w:rFonts w:hint="default" w:ascii="Times New Roman" w:hAnsi="Times New Roman" w:eastAsia="楷体_GB2312" w:cs="Times New Roman"/>
          <w:b/>
          <w:bCs/>
          <w:color w:val="auto"/>
          <w:kern w:val="0"/>
          <w:sz w:val="21"/>
          <w:szCs w:val="21"/>
        </w:rPr>
        <w:t xml:space="preserve">     </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公开01表</w:t>
      </w:r>
    </w:p>
    <w:p>
      <w:pPr>
        <w:keepNext w:val="0"/>
        <w:keepLines w:val="0"/>
        <w:pageBreakBefore w:val="0"/>
        <w:widowControl/>
        <w:kinsoku/>
        <w:wordWrap/>
        <w:overflowPunct/>
        <w:topLinePunct w:val="0"/>
        <w:autoSpaceDE/>
        <w:autoSpaceDN/>
        <w:bidi w:val="0"/>
        <w:adjustRightInd/>
        <w:snapToGrid/>
        <w:ind w:right="0"/>
        <w:jc w:val="right"/>
        <w:textAlignment w:val="auto"/>
        <w:rPr>
          <w:rFonts w:hint="default" w:ascii="Times New Roman" w:hAnsi="Times New Roman" w:eastAsia="楷体_GB2312" w:cs="Times New Roman"/>
          <w:b/>
          <w:bCs/>
          <w:color w:val="auto"/>
          <w:kern w:val="0"/>
          <w:szCs w:val="21"/>
          <w:lang w:val="en-US" w:eastAsia="zh-CN"/>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1"/>
        <w:gridCol w:w="722"/>
        <w:gridCol w:w="1258"/>
        <w:gridCol w:w="4956"/>
        <w:gridCol w:w="722"/>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58" w:type="dxa"/>
            <w:gridSpan w:val="3"/>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收入</w:t>
            </w:r>
          </w:p>
        </w:tc>
        <w:tc>
          <w:tcPr>
            <w:tcW w:w="7203" w:type="dxa"/>
            <w:gridSpan w:val="3"/>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项    目</w:t>
            </w:r>
          </w:p>
        </w:tc>
        <w:tc>
          <w:tcPr>
            <w:tcW w:w="702" w:type="dxa"/>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行次</w:t>
            </w:r>
          </w:p>
        </w:tc>
        <w:tc>
          <w:tcPr>
            <w:tcW w:w="1224" w:type="dxa"/>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决算数</w:t>
            </w:r>
          </w:p>
        </w:tc>
        <w:tc>
          <w:tcPr>
            <w:tcW w:w="4820" w:type="dxa"/>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项    目</w:t>
            </w:r>
          </w:p>
        </w:tc>
        <w:tc>
          <w:tcPr>
            <w:tcW w:w="702" w:type="dxa"/>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行次</w:t>
            </w:r>
          </w:p>
        </w:tc>
        <w:tc>
          <w:tcPr>
            <w:tcW w:w="1681" w:type="dxa"/>
            <w:tcBorders>
              <w:tl2br w:val="nil"/>
              <w:tr2bl w:val="nil"/>
            </w:tcBorders>
            <w:noWrap/>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    次</w:t>
            </w:r>
          </w:p>
        </w:tc>
        <w:tc>
          <w:tcPr>
            <w:tcW w:w="702" w:type="dxa"/>
            <w:tcBorders>
              <w:tl2br w:val="nil"/>
              <w:tr2bl w:val="nil"/>
            </w:tcBorders>
            <w:noWrap/>
            <w:vAlign w:val="center"/>
          </w:tcPr>
          <w:p>
            <w:pP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224"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4820"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    次</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681"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一、一般公共预算财政拨款收入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2868.40</w:t>
            </w: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一、一般公共服务支出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15</w:t>
            </w:r>
          </w:p>
        </w:tc>
        <w:tc>
          <w:tcPr>
            <w:tcW w:w="1681"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二、政府性基金预算财政拨款收入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二、外交支出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16</w:t>
            </w:r>
          </w:p>
        </w:tc>
        <w:tc>
          <w:tcPr>
            <w:tcW w:w="1681"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三、上级补助收入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三、国防支出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17</w:t>
            </w:r>
          </w:p>
        </w:tc>
        <w:tc>
          <w:tcPr>
            <w:tcW w:w="1681"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四、事业收入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四、公共安全支出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18</w:t>
            </w:r>
          </w:p>
        </w:tc>
        <w:tc>
          <w:tcPr>
            <w:tcW w:w="1681"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五、经营收入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五、教育支出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19</w:t>
            </w:r>
          </w:p>
        </w:tc>
        <w:tc>
          <w:tcPr>
            <w:tcW w:w="1681"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六、附属单位上缴收入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6</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六、科学技术支出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20</w:t>
            </w:r>
          </w:p>
        </w:tc>
        <w:tc>
          <w:tcPr>
            <w:tcW w:w="1681"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七、其他收入</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7</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rPr>
              <w:t>七、</w:t>
            </w:r>
            <w:r>
              <w:rPr>
                <w:rFonts w:hint="eastAsia" w:ascii="Times New Roman" w:hAnsi="Times New Roman" w:cs="Times New Roman"/>
                <w:color w:val="auto"/>
                <w:kern w:val="0"/>
                <w:sz w:val="21"/>
                <w:szCs w:val="21"/>
                <w:lang w:eastAsia="zh-CN"/>
              </w:rPr>
              <w:t>住房保障支出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21</w:t>
            </w:r>
          </w:p>
        </w:tc>
        <w:tc>
          <w:tcPr>
            <w:tcW w:w="1681"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115.55</w:t>
            </w: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8</w:t>
            </w:r>
          </w:p>
        </w:tc>
        <w:tc>
          <w:tcPr>
            <w:tcW w:w="1224"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八、社会保障和就业支出</w:t>
            </w:r>
            <w:r>
              <w:rPr>
                <w:rFonts w:hint="default" w:ascii="Times New Roman" w:hAnsi="Times New Roman" w:cs="Times New Roman" w:eastAsiaTheme="minorEastAsia"/>
                <w:color w:val="auto"/>
                <w:kern w:val="0"/>
                <w:sz w:val="21"/>
                <w:szCs w:val="21"/>
              </w:rPr>
              <w:t>　</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22</w:t>
            </w:r>
          </w:p>
        </w:tc>
        <w:tc>
          <w:tcPr>
            <w:tcW w:w="1681"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302.26</w:t>
            </w: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9</w:t>
            </w:r>
          </w:p>
        </w:tc>
        <w:tc>
          <w:tcPr>
            <w:tcW w:w="1224"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p>
        </w:tc>
        <w:tc>
          <w:tcPr>
            <w:tcW w:w="4820" w:type="dxa"/>
            <w:tcBorders>
              <w:tl2br w:val="nil"/>
              <w:tr2bl w:val="nil"/>
            </w:tcBorders>
            <w:noWrap/>
            <w:vAlign w:val="center"/>
          </w:tcPr>
          <w:p>
            <w:pPr>
              <w:widowControl/>
              <w:jc w:val="left"/>
              <w:rPr>
                <w:rFonts w:hint="eastAsia" w:ascii="Times New Roman" w:hAnsi="Times New Roman" w:cs="Times New Roman"/>
                <w:color w:val="auto"/>
                <w:kern w:val="0"/>
                <w:sz w:val="21"/>
                <w:szCs w:val="21"/>
                <w:lang w:eastAsia="zh-CN"/>
              </w:rPr>
            </w:pPr>
            <w:r>
              <w:rPr>
                <w:rFonts w:hint="eastAsia" w:ascii="Times New Roman" w:hAnsi="Times New Roman" w:cs="Times New Roman"/>
                <w:color w:val="auto"/>
                <w:kern w:val="0"/>
                <w:sz w:val="21"/>
                <w:szCs w:val="21"/>
                <w:lang w:eastAsia="zh-CN"/>
              </w:rPr>
              <w:t>九、城乡社区支出</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23</w:t>
            </w:r>
          </w:p>
        </w:tc>
        <w:tc>
          <w:tcPr>
            <w:tcW w:w="1681" w:type="dxa"/>
            <w:tcBorders>
              <w:tl2br w:val="nil"/>
              <w:tr2bl w:val="nil"/>
            </w:tcBorders>
            <w:noWrap/>
            <w:vAlign w:val="center"/>
          </w:tcPr>
          <w:p>
            <w:pPr>
              <w:widowControl/>
              <w:jc w:val="center"/>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2142.61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本年收入合计</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10</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2868.40</w:t>
            </w: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本年支出合计</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24</w:t>
            </w:r>
          </w:p>
        </w:tc>
        <w:tc>
          <w:tcPr>
            <w:tcW w:w="1681" w:type="dxa"/>
            <w:tcBorders>
              <w:tl2br w:val="nil"/>
              <w:tr2bl w:val="nil"/>
            </w:tcBorders>
            <w:noWrap/>
            <w:vAlign w:val="center"/>
          </w:tcPr>
          <w:p>
            <w:pPr>
              <w:widowControl/>
              <w:jc w:val="left"/>
              <w:rPr>
                <w:rFonts w:hint="default" w:ascii="Times New Roman" w:hAnsi="Times New Roman" w:cs="Times New Roman" w:eastAsiaTheme="minorEastAsia"/>
                <w:b/>
                <w:bCs/>
                <w:color w:val="auto"/>
                <w:kern w:val="0"/>
                <w:sz w:val="21"/>
                <w:szCs w:val="21"/>
                <w:lang w:val="en-US" w:eastAsia="zh-CN"/>
              </w:rPr>
            </w:pPr>
            <w:r>
              <w:rPr>
                <w:rFonts w:hint="default" w:ascii="Times New Roman" w:hAnsi="Times New Roman" w:cs="Times New Roman" w:eastAsiaTheme="minorEastAsia"/>
                <w:b/>
                <w:bCs/>
                <w:color w:val="auto"/>
                <w:kern w:val="0"/>
                <w:sz w:val="21"/>
                <w:szCs w:val="21"/>
              </w:rPr>
              <w:t>　</w:t>
            </w:r>
            <w:r>
              <w:rPr>
                <w:rFonts w:hint="eastAsia" w:ascii="Times New Roman" w:hAnsi="Times New Roman" w:cs="Times New Roman"/>
                <w:b/>
                <w:bCs/>
                <w:color w:val="auto"/>
                <w:kern w:val="0"/>
                <w:sz w:val="21"/>
                <w:szCs w:val="21"/>
                <w:lang w:val="en-US" w:eastAsia="zh-CN"/>
              </w:rPr>
              <w:t>2560.41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用事业基金弥补收支差额</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11</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结余分配</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25</w:t>
            </w:r>
          </w:p>
        </w:tc>
        <w:tc>
          <w:tcPr>
            <w:tcW w:w="1681"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年初结转和结余</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12</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年末结转和结余</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26</w:t>
            </w:r>
          </w:p>
        </w:tc>
        <w:tc>
          <w:tcPr>
            <w:tcW w:w="1681"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307.99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02" w:type="dxa"/>
            <w:tcBorders>
              <w:tl2br w:val="nil"/>
              <w:tr2bl w:val="nil"/>
            </w:tcBorders>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13</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02" w:type="dxa"/>
            <w:tcBorders>
              <w:tl2br w:val="nil"/>
              <w:tr2bl w:val="nil"/>
            </w:tcBorders>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rPr>
              <w:t>2</w:t>
            </w:r>
            <w:r>
              <w:rPr>
                <w:rFonts w:hint="eastAsia" w:ascii="Times New Roman" w:hAnsi="Times New Roman" w:cs="Times New Roman"/>
                <w:color w:val="auto"/>
                <w:kern w:val="0"/>
                <w:sz w:val="21"/>
                <w:szCs w:val="21"/>
                <w:lang w:val="en-US" w:eastAsia="zh-CN"/>
              </w:rPr>
              <w:t>7</w:t>
            </w:r>
          </w:p>
        </w:tc>
        <w:tc>
          <w:tcPr>
            <w:tcW w:w="1681" w:type="dxa"/>
            <w:tcBorders>
              <w:tl2br w:val="nil"/>
              <w:tr2bl w:val="nil"/>
            </w:tcBorders>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932" w:type="dxa"/>
            <w:tcBorders>
              <w:tl2br w:val="nil"/>
              <w:tr2bl w:val="nil"/>
            </w:tcBorders>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总计</w:t>
            </w:r>
          </w:p>
        </w:tc>
        <w:tc>
          <w:tcPr>
            <w:tcW w:w="702" w:type="dxa"/>
            <w:tcBorders>
              <w:tl2br w:val="nil"/>
              <w:tr2bl w:val="nil"/>
            </w:tcBorders>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rPr>
              <w:t>1</w:t>
            </w:r>
            <w:r>
              <w:rPr>
                <w:rFonts w:hint="eastAsia" w:ascii="Times New Roman" w:hAnsi="Times New Roman" w:cs="Times New Roman"/>
                <w:color w:val="auto"/>
                <w:kern w:val="0"/>
                <w:sz w:val="21"/>
                <w:szCs w:val="21"/>
                <w:lang w:val="en-US" w:eastAsia="zh-CN"/>
              </w:rPr>
              <w:t>4</w:t>
            </w:r>
          </w:p>
        </w:tc>
        <w:tc>
          <w:tcPr>
            <w:tcW w:w="1224" w:type="dxa"/>
            <w:tcBorders>
              <w:tl2br w:val="nil"/>
              <w:tr2bl w:val="nil"/>
            </w:tcBorders>
            <w:noWrap/>
            <w:vAlign w:val="center"/>
          </w:tcPr>
          <w:p>
            <w:pPr>
              <w:widowControl/>
              <w:jc w:val="righ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2868.40</w:t>
            </w:r>
            <w:r>
              <w:rPr>
                <w:rFonts w:hint="default" w:ascii="Times New Roman" w:hAnsi="Times New Roman" w:cs="Times New Roman" w:eastAsiaTheme="minorEastAsia"/>
                <w:color w:val="auto"/>
                <w:kern w:val="0"/>
                <w:sz w:val="21"/>
                <w:szCs w:val="21"/>
              </w:rPr>
              <w:t>　</w:t>
            </w:r>
          </w:p>
        </w:tc>
        <w:tc>
          <w:tcPr>
            <w:tcW w:w="4820" w:type="dxa"/>
            <w:tcBorders>
              <w:tl2br w:val="nil"/>
              <w:tr2bl w:val="nil"/>
            </w:tcBorders>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总计</w:t>
            </w:r>
          </w:p>
        </w:tc>
        <w:tc>
          <w:tcPr>
            <w:tcW w:w="702" w:type="dxa"/>
            <w:tcBorders>
              <w:tl2br w:val="nil"/>
              <w:tr2bl w:val="nil"/>
            </w:tcBorders>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rPr>
              <w:t>2</w:t>
            </w:r>
            <w:r>
              <w:rPr>
                <w:rFonts w:hint="eastAsia" w:ascii="Times New Roman" w:hAnsi="Times New Roman" w:cs="Times New Roman"/>
                <w:color w:val="auto"/>
                <w:kern w:val="0"/>
                <w:sz w:val="21"/>
                <w:szCs w:val="21"/>
                <w:lang w:val="en-US" w:eastAsia="zh-CN"/>
              </w:rPr>
              <w:t>8</w:t>
            </w:r>
          </w:p>
        </w:tc>
        <w:tc>
          <w:tcPr>
            <w:tcW w:w="1681" w:type="dxa"/>
            <w:tcBorders>
              <w:tl2br w:val="nil"/>
              <w:tr2bl w:val="nil"/>
            </w:tcBorders>
            <w:noWrap/>
            <w:vAlign w:val="center"/>
          </w:tcPr>
          <w:p>
            <w:pPr>
              <w:widowControl/>
              <w:jc w:val="left"/>
              <w:rPr>
                <w:rFonts w:hint="default" w:ascii="Times New Roman" w:hAnsi="Times New Roman" w:cs="Times New Roman" w:eastAsiaTheme="minorEastAsia"/>
                <w:b/>
                <w:bCs/>
                <w:color w:val="auto"/>
                <w:kern w:val="0"/>
                <w:sz w:val="21"/>
                <w:szCs w:val="21"/>
                <w:lang w:val="en-US" w:eastAsia="zh-CN"/>
              </w:rPr>
            </w:pPr>
            <w:r>
              <w:rPr>
                <w:rFonts w:hint="default" w:ascii="Times New Roman" w:hAnsi="Times New Roman" w:cs="Times New Roman" w:eastAsiaTheme="minorEastAsia"/>
                <w:b/>
                <w:bCs/>
                <w:color w:val="auto"/>
                <w:kern w:val="0"/>
                <w:sz w:val="21"/>
                <w:szCs w:val="21"/>
              </w:rPr>
              <w:t>　</w:t>
            </w:r>
            <w:r>
              <w:rPr>
                <w:rFonts w:hint="eastAsia" w:ascii="Times New Roman" w:hAnsi="Times New Roman" w:cs="Times New Roman"/>
                <w:b/>
                <w:bCs/>
                <w:color w:val="auto"/>
                <w:kern w:val="0"/>
                <w:sz w:val="21"/>
                <w:szCs w:val="21"/>
                <w:lang w:val="en-US" w:eastAsia="zh-CN"/>
              </w:rPr>
              <w:t>2868.40</w:t>
            </w:r>
          </w:p>
        </w:tc>
      </w:tr>
    </w:tbl>
    <w:p>
      <w:pPr>
        <w:keepNext w:val="0"/>
        <w:keepLines w:val="0"/>
        <w:pageBreakBefore w:val="0"/>
        <w:widowControl/>
        <w:kinsoku/>
        <w:wordWrap/>
        <w:overflowPunct/>
        <w:topLinePunct w:val="0"/>
        <w:autoSpaceDE/>
        <w:autoSpaceDN/>
        <w:bidi w:val="0"/>
        <w:adjustRightInd/>
        <w:snapToGrid/>
        <w:spacing w:before="95" w:beforeLines="30"/>
        <w:jc w:val="left"/>
        <w:textAlignment w:val="auto"/>
        <w:rPr>
          <w:rFonts w:hint="default" w:ascii="Times New Roman" w:hAnsi="Times New Roman" w:eastAsia="楷体_GB2312" w:cs="Times New Roman"/>
          <w:color w:val="auto"/>
          <w:kern w:val="0"/>
          <w:sz w:val="24"/>
          <w:szCs w:val="24"/>
        </w:rPr>
      </w:pPr>
      <w:r>
        <w:rPr>
          <w:rFonts w:hint="default" w:ascii="Times New Roman" w:hAnsi="Times New Roman" w:eastAsia="楷体_GB2312" w:cs="Times New Roman"/>
          <w:color w:val="auto"/>
          <w:kern w:val="0"/>
          <w:sz w:val="24"/>
          <w:szCs w:val="24"/>
        </w:rPr>
        <w:t>注：本表反映部门本年度的总收支和年末结转结余情况。</w:t>
      </w:r>
    </w:p>
    <w:p>
      <w:pPr>
        <w:widowControl/>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lang w:eastAsia="zh-CN"/>
        </w:rPr>
        <w:t>部门</w:t>
      </w:r>
      <w:r>
        <w:rPr>
          <w:rFonts w:hint="default" w:ascii="Times New Roman" w:hAnsi="Times New Roman" w:eastAsia="方正大标宋简体" w:cs="Times New Roman"/>
          <w:color w:val="auto"/>
          <w:sz w:val="44"/>
          <w:szCs w:val="44"/>
        </w:rPr>
        <w:t>收入决算表</w:t>
      </w:r>
    </w:p>
    <w:p>
      <w:pPr>
        <w:widowControl/>
        <w:ind w:left="12438" w:hanging="12438" w:hangingChars="5900"/>
        <w:jc w:val="lef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仿宋_GB2312" w:cs="Times New Roman"/>
          <w:color w:val="auto"/>
          <w:kern w:val="0"/>
          <w:sz w:val="21"/>
          <w:szCs w:val="21"/>
          <w:lang w:eastAsia="zh-CN"/>
        </w:rPr>
        <w:t>长沙市苗圃（长沙园林生态园）</w:t>
      </w:r>
      <w:r>
        <w:rPr>
          <w:rFonts w:hint="default" w:ascii="Times New Roman" w:hAnsi="Times New Roman" w:eastAsia="楷体_GB2312" w:cs="Times New Roman"/>
          <w:b/>
          <w:bCs/>
          <w:color w:val="auto"/>
          <w:kern w:val="0"/>
          <w:sz w:val="21"/>
          <w:szCs w:val="21"/>
        </w:rPr>
        <w:t xml:space="preserve"> </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公开02表</w:t>
      </w:r>
    </w:p>
    <w:p>
      <w:pPr>
        <w:keepNext w:val="0"/>
        <w:keepLines w:val="0"/>
        <w:pageBreakBefore w:val="0"/>
        <w:widowControl/>
        <w:kinsoku/>
        <w:wordWrap/>
        <w:overflowPunct/>
        <w:topLinePunct w:val="0"/>
        <w:autoSpaceDE/>
        <w:autoSpaceDN/>
        <w:bidi w:val="0"/>
        <w:adjustRightInd/>
        <w:snapToGrid/>
        <w:ind w:right="0"/>
        <w:jc w:val="right"/>
        <w:textAlignment w:val="auto"/>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243"/>
        <w:gridCol w:w="1754"/>
        <w:gridCol w:w="1669"/>
        <w:gridCol w:w="1754"/>
        <w:gridCol w:w="1446"/>
        <w:gridCol w:w="1478"/>
        <w:gridCol w:w="1754"/>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96" w:type="dxa"/>
            <w:gridSpan w:val="2"/>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项    目</w:t>
            </w:r>
          </w:p>
        </w:tc>
        <w:tc>
          <w:tcPr>
            <w:tcW w:w="1754"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本年收入合计</w:t>
            </w:r>
          </w:p>
        </w:tc>
        <w:tc>
          <w:tcPr>
            <w:tcW w:w="1669"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财政拨款收入</w:t>
            </w:r>
          </w:p>
        </w:tc>
        <w:tc>
          <w:tcPr>
            <w:tcW w:w="1754"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上级补助收入</w:t>
            </w:r>
          </w:p>
        </w:tc>
        <w:tc>
          <w:tcPr>
            <w:tcW w:w="1446"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事业收入</w:t>
            </w:r>
          </w:p>
        </w:tc>
        <w:tc>
          <w:tcPr>
            <w:tcW w:w="1478"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经营收入</w:t>
            </w:r>
          </w:p>
        </w:tc>
        <w:tc>
          <w:tcPr>
            <w:tcW w:w="1754"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附属单位</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上缴收入</w:t>
            </w:r>
          </w:p>
        </w:tc>
        <w:tc>
          <w:tcPr>
            <w:tcW w:w="2106"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eastAsia="黑体" w:cs="Times New Roman"/>
                <w:color w:val="auto"/>
                <w:kern w:val="0"/>
                <w:sz w:val="21"/>
                <w:szCs w:val="21"/>
              </w:rPr>
              <w:t>功能分类科目编码</w:t>
            </w:r>
          </w:p>
        </w:tc>
        <w:tc>
          <w:tcPr>
            <w:tcW w:w="1243" w:type="dxa"/>
            <w:tcBorders>
              <w:tl2br w:val="nil"/>
              <w:tr2bl w:val="nil"/>
            </w:tcBorders>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eastAsia="黑体" w:cs="Times New Roman"/>
                <w:color w:val="auto"/>
                <w:kern w:val="0"/>
                <w:sz w:val="21"/>
                <w:szCs w:val="21"/>
              </w:rPr>
              <w:t>科目名称</w:t>
            </w:r>
          </w:p>
        </w:tc>
        <w:tc>
          <w:tcPr>
            <w:tcW w:w="1754"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c>
          <w:tcPr>
            <w:tcW w:w="1669"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c>
          <w:tcPr>
            <w:tcW w:w="1754"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c>
          <w:tcPr>
            <w:tcW w:w="1446"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c>
          <w:tcPr>
            <w:tcW w:w="1478"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c>
          <w:tcPr>
            <w:tcW w:w="1754"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c>
          <w:tcPr>
            <w:tcW w:w="2106" w:type="dxa"/>
            <w:vMerge w:val="continue"/>
            <w:tcBorders>
              <w:tl2br w:val="nil"/>
              <w:tr2bl w:val="nil"/>
            </w:tcBorders>
            <w:vAlign w:val="center"/>
          </w:tcPr>
          <w:p>
            <w:pPr>
              <w:widowControl/>
              <w:jc w:val="left"/>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496" w:type="dxa"/>
            <w:gridSpan w:val="2"/>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栏次</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6</w:t>
            </w: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96" w:type="dxa"/>
            <w:gridSpan w:val="2"/>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合计</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2070199</w:t>
            </w:r>
          </w:p>
        </w:tc>
        <w:tc>
          <w:tcPr>
            <w:tcW w:w="1243"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其他文化和旅游支出</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5.9</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5.9</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2080502</w:t>
            </w:r>
          </w:p>
        </w:tc>
        <w:tc>
          <w:tcPr>
            <w:tcW w:w="1243"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事业单位离退休</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198.32</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198.32</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2080505</w:t>
            </w:r>
          </w:p>
        </w:tc>
        <w:tc>
          <w:tcPr>
            <w:tcW w:w="1243"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机关事业单位基本养老保险缴费支出</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103.94</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103.94</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2120399</w:t>
            </w:r>
          </w:p>
        </w:tc>
        <w:tc>
          <w:tcPr>
            <w:tcW w:w="1243"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其他城乡社区公共设施支出</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304.99</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304.99</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2120501</w:t>
            </w:r>
          </w:p>
        </w:tc>
        <w:tc>
          <w:tcPr>
            <w:tcW w:w="1243"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城乡社区环境卫生</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2139.71</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2139.71</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53"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2210201</w:t>
            </w:r>
          </w:p>
        </w:tc>
        <w:tc>
          <w:tcPr>
            <w:tcW w:w="1243"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住房公积金</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115.55</w:t>
            </w:r>
          </w:p>
        </w:tc>
        <w:tc>
          <w:tcPr>
            <w:tcW w:w="1669"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115.55</w:t>
            </w: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4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47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75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106"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注：本表反映部门本年度取得的各项收入情况。</w:t>
      </w:r>
    </w:p>
    <w:p>
      <w:pPr>
        <w:widowControl/>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lang w:eastAsia="zh-CN"/>
        </w:rPr>
        <w:t>部门</w:t>
      </w:r>
      <w:r>
        <w:rPr>
          <w:rFonts w:hint="default" w:ascii="Times New Roman" w:hAnsi="Times New Roman" w:eastAsia="方正大标宋简体" w:cs="Times New Roman"/>
          <w:color w:val="auto"/>
          <w:sz w:val="44"/>
          <w:szCs w:val="44"/>
        </w:rPr>
        <w:t>支出决算表</w:t>
      </w:r>
    </w:p>
    <w:p>
      <w:pPr>
        <w:keepNext w:val="0"/>
        <w:keepLines w:val="0"/>
        <w:pageBreakBefore w:val="0"/>
        <w:widowControl/>
        <w:kinsoku/>
        <w:wordWrap/>
        <w:overflowPunct/>
        <w:topLinePunct w:val="0"/>
        <w:autoSpaceDE/>
        <w:autoSpaceDN/>
        <w:bidi w:val="0"/>
        <w:adjustRightInd/>
        <w:snapToGrid/>
        <w:ind w:left="12438" w:right="0" w:hanging="12438" w:hangingChars="5900"/>
        <w:jc w:val="left"/>
        <w:textAlignment w:val="auto"/>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仿宋_GB2312" w:cs="Times New Roman"/>
          <w:color w:val="auto"/>
          <w:kern w:val="0"/>
          <w:sz w:val="21"/>
          <w:szCs w:val="21"/>
          <w:lang w:eastAsia="zh-CN"/>
        </w:rPr>
        <w:t>长沙市苗圃（长沙园林生态园）</w:t>
      </w:r>
      <w:r>
        <w:rPr>
          <w:rFonts w:hint="default" w:ascii="Times New Roman" w:hAnsi="Times New Roman" w:eastAsia="楷体_GB2312" w:cs="Times New Roman"/>
          <w:b/>
          <w:bCs/>
          <w:color w:val="auto"/>
          <w:kern w:val="0"/>
          <w:szCs w:val="21"/>
        </w:rPr>
        <w:t xml:space="preserve">                                                                                                         公开03表</w:t>
      </w:r>
    </w:p>
    <w:p>
      <w:pPr>
        <w:keepNext w:val="0"/>
        <w:keepLines w:val="0"/>
        <w:pageBreakBefore w:val="0"/>
        <w:widowControl/>
        <w:kinsoku/>
        <w:wordWrap/>
        <w:overflowPunct/>
        <w:topLinePunct w:val="0"/>
        <w:autoSpaceDE/>
        <w:autoSpaceDN/>
        <w:bidi w:val="0"/>
        <w:adjustRightInd/>
        <w:snapToGrid/>
        <w:ind w:right="0"/>
        <w:jc w:val="right"/>
        <w:textAlignment w:val="auto"/>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282"/>
        <w:gridCol w:w="1821"/>
        <w:gridCol w:w="2037"/>
        <w:gridCol w:w="1890"/>
        <w:gridCol w:w="1891"/>
        <w:gridCol w:w="203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413" w:type="dxa"/>
            <w:gridSpan w:val="2"/>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项    目</w:t>
            </w:r>
          </w:p>
        </w:tc>
        <w:tc>
          <w:tcPr>
            <w:tcW w:w="1821"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本年支出合计</w:t>
            </w:r>
          </w:p>
        </w:tc>
        <w:tc>
          <w:tcPr>
            <w:tcW w:w="2037"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基本支出</w:t>
            </w:r>
          </w:p>
        </w:tc>
        <w:tc>
          <w:tcPr>
            <w:tcW w:w="189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项目支出</w:t>
            </w:r>
          </w:p>
        </w:tc>
        <w:tc>
          <w:tcPr>
            <w:tcW w:w="1891"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上缴上级支出</w:t>
            </w:r>
          </w:p>
        </w:tc>
        <w:tc>
          <w:tcPr>
            <w:tcW w:w="2037"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经营支出</w:t>
            </w:r>
          </w:p>
        </w:tc>
        <w:tc>
          <w:tcPr>
            <w:tcW w:w="2368"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eastAsia="黑体" w:cs="Times New Roman"/>
                <w:color w:val="auto"/>
                <w:kern w:val="0"/>
                <w:sz w:val="21"/>
                <w:szCs w:val="21"/>
              </w:rPr>
              <w:t>功能分类科目编码</w:t>
            </w:r>
          </w:p>
        </w:tc>
        <w:tc>
          <w:tcPr>
            <w:tcW w:w="128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eastAsia="黑体" w:cs="Times New Roman"/>
                <w:color w:val="auto"/>
                <w:kern w:val="0"/>
                <w:sz w:val="21"/>
                <w:szCs w:val="21"/>
              </w:rPr>
              <w:t>科目名称</w:t>
            </w:r>
          </w:p>
        </w:tc>
        <w:tc>
          <w:tcPr>
            <w:tcW w:w="1821" w:type="dxa"/>
            <w:vMerge w:val="continue"/>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p>
        </w:tc>
        <w:tc>
          <w:tcPr>
            <w:tcW w:w="2037" w:type="dxa"/>
            <w:vMerge w:val="continue"/>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p>
        </w:tc>
        <w:tc>
          <w:tcPr>
            <w:tcW w:w="1890" w:type="dxa"/>
            <w:vMerge w:val="continue"/>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p>
        </w:tc>
        <w:tc>
          <w:tcPr>
            <w:tcW w:w="1891" w:type="dxa"/>
            <w:vMerge w:val="continue"/>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p>
        </w:tc>
        <w:tc>
          <w:tcPr>
            <w:tcW w:w="2037" w:type="dxa"/>
            <w:vMerge w:val="continue"/>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p>
        </w:tc>
        <w:tc>
          <w:tcPr>
            <w:tcW w:w="2368" w:type="dxa"/>
            <w:vMerge w:val="continue"/>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413" w:type="dxa"/>
            <w:gridSpan w:val="2"/>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栏次</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413" w:type="dxa"/>
            <w:gridSpan w:val="2"/>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合计</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2560.41</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2165.85</w:t>
            </w: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394.57</w:t>
            </w: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2080502</w:t>
            </w:r>
          </w:p>
        </w:tc>
        <w:tc>
          <w:tcPr>
            <w:tcW w:w="128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事业单位离退休</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198.32</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198.32</w:t>
            </w: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2080505</w:t>
            </w:r>
          </w:p>
        </w:tc>
        <w:tc>
          <w:tcPr>
            <w:tcW w:w="128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机关事业单位基本养老保险缴费支出</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103.94</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103.94</w:t>
            </w: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2120399</w:t>
            </w:r>
          </w:p>
        </w:tc>
        <w:tc>
          <w:tcPr>
            <w:tcW w:w="1282"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其他城乡社区公共设施支出</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4.99</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4.99</w:t>
            </w: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2120501</w:t>
            </w:r>
          </w:p>
        </w:tc>
        <w:tc>
          <w:tcPr>
            <w:tcW w:w="1282"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城乡社区环境卫生</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2137.62</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rPr>
            </w:pPr>
            <w:r>
              <w:rPr>
                <w:rFonts w:hint="eastAsia" w:ascii="Times New Roman" w:hAnsi="Times New Roman" w:cs="Times New Roman"/>
                <w:color w:val="auto"/>
                <w:kern w:val="0"/>
                <w:sz w:val="21"/>
                <w:szCs w:val="21"/>
                <w:lang w:val="en-US" w:eastAsia="zh-CN"/>
              </w:rPr>
              <w:t>1748.04</w:t>
            </w: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389.58</w:t>
            </w: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2210201</w:t>
            </w:r>
          </w:p>
        </w:tc>
        <w:tc>
          <w:tcPr>
            <w:tcW w:w="1282" w:type="dxa"/>
            <w:tcBorders>
              <w:tl2br w:val="nil"/>
              <w:tr2bl w:val="nil"/>
            </w:tcBorders>
            <w:shd w:val="clear" w:color="auto" w:fill="auto"/>
            <w:noWrap/>
            <w:vAlign w:val="center"/>
          </w:tcPr>
          <w:p>
            <w:pPr>
              <w:widowControl/>
              <w:jc w:val="center"/>
              <w:rPr>
                <w:rFonts w:hint="eastAsia" w:ascii="Times New Roman" w:hAnsi="Times New Roman" w:cs="Times New Roman" w:eastAsiaTheme="minorEastAsia"/>
                <w:color w:val="auto"/>
                <w:kern w:val="0"/>
                <w:sz w:val="21"/>
                <w:szCs w:val="21"/>
                <w:lang w:eastAsia="zh-CN"/>
              </w:rPr>
            </w:pPr>
            <w:r>
              <w:rPr>
                <w:rFonts w:hint="eastAsia" w:ascii="Times New Roman" w:hAnsi="Times New Roman" w:cs="Times New Roman"/>
                <w:color w:val="auto"/>
                <w:kern w:val="0"/>
                <w:sz w:val="21"/>
                <w:szCs w:val="21"/>
                <w:lang w:eastAsia="zh-CN"/>
              </w:rPr>
              <w:t>住房公积金</w:t>
            </w: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115.55</w:t>
            </w: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115.55</w:t>
            </w: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3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28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2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9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89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037"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2368"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注：本表反映部门本年度各项支出情况。</w:t>
      </w:r>
    </w:p>
    <w:p>
      <w:pPr>
        <w:widowControl/>
        <w:jc w:val="left"/>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r>
        <w:rPr>
          <w:rFonts w:hint="default" w:ascii="Times New Roman" w:hAnsi="Times New Roman" w:eastAsia="方正大标宋简体" w:cs="Times New Roman"/>
          <w:color w:val="auto"/>
          <w:sz w:val="44"/>
          <w:szCs w:val="44"/>
        </w:rPr>
        <w:t>财政拨款收支决算总表</w:t>
      </w:r>
    </w:p>
    <w:p>
      <w:pPr>
        <w:widowControl/>
        <w:ind w:left="12438" w:hanging="12438" w:hangingChars="5900"/>
        <w:jc w:val="lef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仿宋_GB2312" w:cs="Times New Roman"/>
          <w:color w:val="auto"/>
          <w:kern w:val="0"/>
          <w:sz w:val="21"/>
          <w:szCs w:val="21"/>
          <w:lang w:eastAsia="zh-CN"/>
        </w:rPr>
        <w:t>长沙市苗圃（长沙园林生态园）</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公开04表</w:t>
      </w:r>
    </w:p>
    <w:p>
      <w:pPr>
        <w:widowControl/>
        <w:jc w:val="righ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354" w:type="dxa"/>
            <w:gridSpan w:val="3"/>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收入</w:t>
            </w:r>
          </w:p>
        </w:tc>
        <w:tc>
          <w:tcPr>
            <w:tcW w:w="9303" w:type="dxa"/>
            <w:gridSpan w:val="5"/>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项    目</w:t>
            </w:r>
          </w:p>
        </w:tc>
        <w:tc>
          <w:tcPr>
            <w:tcW w:w="480" w:type="dxa"/>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行次</w:t>
            </w:r>
          </w:p>
        </w:tc>
        <w:tc>
          <w:tcPr>
            <w:tcW w:w="1880" w:type="dxa"/>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金额</w:t>
            </w:r>
          </w:p>
        </w:tc>
        <w:tc>
          <w:tcPr>
            <w:tcW w:w="3761" w:type="dxa"/>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项    目</w:t>
            </w:r>
          </w:p>
        </w:tc>
        <w:tc>
          <w:tcPr>
            <w:tcW w:w="430" w:type="dxa"/>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行次</w:t>
            </w:r>
          </w:p>
        </w:tc>
        <w:tc>
          <w:tcPr>
            <w:tcW w:w="1880" w:type="dxa"/>
            <w:tcBorders>
              <w:tl2br w:val="nil"/>
              <w:tr2bl w:val="nil"/>
            </w:tcBorders>
            <w:shd w:val="clear" w:color="auto" w:fill="auto"/>
            <w:noWrap/>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合计</w:t>
            </w:r>
          </w:p>
        </w:tc>
        <w:tc>
          <w:tcPr>
            <w:tcW w:w="1660" w:type="dxa"/>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一般公共预算财政拨款</w:t>
            </w:r>
          </w:p>
        </w:tc>
        <w:tc>
          <w:tcPr>
            <w:tcW w:w="1572" w:type="dxa"/>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    次</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376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    次</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一、一般公共预算财政拨款</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一、一般公共服务支出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15</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二、政府性基金预算财政拨款</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二、外交支出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16</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三、国防支出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17</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四、公共安全支出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18</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五、教育支出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19</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6</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六</w:t>
            </w:r>
            <w:r>
              <w:rPr>
                <w:rFonts w:hint="default" w:ascii="Times New Roman" w:hAnsi="Times New Roman" w:cs="Times New Roman" w:eastAsiaTheme="minorEastAsia"/>
                <w:color w:val="auto"/>
                <w:kern w:val="0"/>
                <w:sz w:val="21"/>
                <w:szCs w:val="21"/>
              </w:rPr>
              <w:t>、</w:t>
            </w:r>
            <w:r>
              <w:rPr>
                <w:rFonts w:hint="eastAsia" w:ascii="Times New Roman" w:hAnsi="Times New Roman" w:cs="Times New Roman"/>
                <w:color w:val="auto"/>
                <w:kern w:val="0"/>
                <w:sz w:val="21"/>
                <w:szCs w:val="21"/>
                <w:lang w:eastAsia="zh-CN"/>
              </w:rPr>
              <w:t>住房保障支出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20</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115.55</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115.55</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7</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七、社会保障和就业支出</w:t>
            </w:r>
            <w:r>
              <w:rPr>
                <w:rFonts w:hint="default" w:ascii="Times New Roman" w:hAnsi="Times New Roman" w:cs="Times New Roman" w:eastAsiaTheme="minorEastAsia"/>
                <w:color w:val="auto"/>
                <w:kern w:val="0"/>
                <w:sz w:val="21"/>
                <w:szCs w:val="21"/>
              </w:rPr>
              <w:t>　</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21</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302.26</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302.26</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8</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八、城乡社区支出</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22</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2142.61</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2142.61</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本年收入合计</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9</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376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本年支出合计</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23</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2560.41</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2560.41</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年初财政拨款结转和结余</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10</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年末财政拨款结转和结余</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24</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307.99</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307.99</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一、一般公共预算财政拨款</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11</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25</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二、政府性基金预算财政拨款</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12</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26</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13</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3761" w:type="dxa"/>
            <w:tcBorders>
              <w:tl2br w:val="nil"/>
              <w:tr2bl w:val="nil"/>
            </w:tcBorders>
            <w:shd w:val="clear" w:color="auto" w:fill="auto"/>
            <w:noWrap/>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27</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994"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总计</w:t>
            </w:r>
          </w:p>
        </w:tc>
        <w:tc>
          <w:tcPr>
            <w:tcW w:w="4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14</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3761"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b/>
                <w:bCs/>
                <w:color w:val="auto"/>
                <w:kern w:val="0"/>
                <w:sz w:val="21"/>
                <w:szCs w:val="21"/>
              </w:rPr>
            </w:pPr>
            <w:r>
              <w:rPr>
                <w:rFonts w:hint="default" w:ascii="Times New Roman" w:hAnsi="Times New Roman" w:cs="Times New Roman" w:eastAsiaTheme="minorEastAsia"/>
                <w:b/>
                <w:bCs/>
                <w:color w:val="auto"/>
                <w:kern w:val="0"/>
                <w:sz w:val="21"/>
                <w:szCs w:val="21"/>
              </w:rPr>
              <w:t>总计</w:t>
            </w:r>
          </w:p>
        </w:tc>
        <w:tc>
          <w:tcPr>
            <w:tcW w:w="43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28</w:t>
            </w:r>
          </w:p>
        </w:tc>
        <w:tc>
          <w:tcPr>
            <w:tcW w:w="188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1660"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2868.40</w:t>
            </w:r>
          </w:p>
        </w:tc>
        <w:tc>
          <w:tcPr>
            <w:tcW w:w="1572" w:type="dxa"/>
            <w:tcBorders>
              <w:tl2br w:val="nil"/>
              <w:tr2bl w:val="nil"/>
            </w:tcBorders>
            <w:shd w:val="clear" w:color="auto" w:fill="auto"/>
            <w:noWrap/>
            <w:vAlign w:val="center"/>
          </w:tcPr>
          <w:p>
            <w:pPr>
              <w:widowControl/>
              <w:jc w:val="center"/>
              <w:rPr>
                <w:rFonts w:hint="default" w:ascii="Times New Roman" w:hAnsi="Times New Roman" w:cs="Times New Roman" w:eastAsiaTheme="minorEastAsia"/>
                <w:b/>
                <w:bCs/>
                <w:color w:val="auto"/>
                <w:kern w:val="0"/>
                <w:sz w:val="21"/>
                <w:szCs w:val="21"/>
              </w:rPr>
            </w:pP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注：本表反映部门本年度一般公共预算财政拨款和政府性基金预算财政拨款的总收支和年末结转结余情况。</w:t>
      </w:r>
    </w:p>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bookmarkStart w:id="0" w:name="RANGE!A1:F16"/>
      <w:r>
        <w:rPr>
          <w:rFonts w:hint="default" w:ascii="Times New Roman" w:hAnsi="Times New Roman" w:eastAsia="方正大标宋简体" w:cs="Times New Roman"/>
          <w:color w:val="auto"/>
          <w:sz w:val="44"/>
          <w:szCs w:val="44"/>
        </w:rPr>
        <w:t>一般公共预算财政拨款支出决算表</w:t>
      </w:r>
      <w:bookmarkEnd w:id="0"/>
    </w:p>
    <w:p>
      <w:pPr>
        <w:widowControl/>
        <w:ind w:left="12438" w:hanging="12438" w:hangingChars="5900"/>
        <w:jc w:val="lef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仿宋_GB2312" w:cs="Times New Roman"/>
          <w:color w:val="auto"/>
          <w:kern w:val="0"/>
          <w:sz w:val="21"/>
          <w:szCs w:val="21"/>
          <w:lang w:eastAsia="zh-CN"/>
        </w:rPr>
        <w:t>长沙市苗圃（长沙园林生态园）</w:t>
      </w:r>
      <w:r>
        <w:rPr>
          <w:rFonts w:hint="default" w:ascii="Times New Roman" w:hAnsi="Times New Roman" w:eastAsia="楷体_GB2312" w:cs="Times New Roman"/>
          <w:b/>
          <w:bCs/>
          <w:color w:val="auto"/>
          <w:kern w:val="0"/>
          <w:szCs w:val="21"/>
        </w:rPr>
        <w:t xml:space="preserve">                                                                                                          公开05表</w:t>
      </w:r>
    </w:p>
    <w:p>
      <w:pPr>
        <w:widowControl/>
        <w:jc w:val="righ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3586"/>
        <w:gridCol w:w="3050"/>
        <w:gridCol w:w="355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806" w:type="dxa"/>
            <w:gridSpan w:val="2"/>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项    目</w:t>
            </w:r>
          </w:p>
        </w:tc>
        <w:tc>
          <w:tcPr>
            <w:tcW w:w="9651" w:type="dxa"/>
            <w:gridSpan w:val="3"/>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功能分类科目编码</w:t>
            </w:r>
          </w:p>
        </w:tc>
        <w:tc>
          <w:tcPr>
            <w:tcW w:w="3586"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科目名称</w:t>
            </w:r>
          </w:p>
        </w:tc>
        <w:tc>
          <w:tcPr>
            <w:tcW w:w="3050"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小计</w:t>
            </w:r>
          </w:p>
        </w:tc>
        <w:tc>
          <w:tcPr>
            <w:tcW w:w="3550"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基本支出</w:t>
            </w:r>
          </w:p>
        </w:tc>
        <w:tc>
          <w:tcPr>
            <w:tcW w:w="3051"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806" w:type="dxa"/>
            <w:gridSpan w:val="2"/>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栏次</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06" w:type="dxa"/>
            <w:gridSpan w:val="2"/>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合计</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2560.41</w:t>
            </w:r>
            <w:r>
              <w:rPr>
                <w:rFonts w:hint="default" w:ascii="Times New Roman" w:hAnsi="Times New Roman" w:cs="Times New Roman" w:eastAsiaTheme="minorEastAsia"/>
                <w:color w:val="auto"/>
                <w:kern w:val="0"/>
                <w:sz w:val="21"/>
                <w:szCs w:val="21"/>
              </w:rPr>
              <w:t>　</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2165.85</w:t>
            </w: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394.57</w:t>
            </w: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2080502</w:t>
            </w:r>
          </w:p>
        </w:tc>
        <w:tc>
          <w:tcPr>
            <w:tcW w:w="3586"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事业单位离退休</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198.32</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198.32</w:t>
            </w: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2080505</w:t>
            </w:r>
          </w:p>
        </w:tc>
        <w:tc>
          <w:tcPr>
            <w:tcW w:w="3586"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机关事业单位基本养老保险缴费支出</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103.94</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103.94</w:t>
            </w: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2120399</w:t>
            </w:r>
          </w:p>
        </w:tc>
        <w:tc>
          <w:tcPr>
            <w:tcW w:w="3586"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其他城乡社区公共设施支出</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4.99</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2120501</w:t>
            </w:r>
          </w:p>
        </w:tc>
        <w:tc>
          <w:tcPr>
            <w:tcW w:w="3586"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城乡社区环境卫生</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2137.62</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1748.04</w:t>
            </w: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389.58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2210201</w:t>
            </w:r>
          </w:p>
        </w:tc>
        <w:tc>
          <w:tcPr>
            <w:tcW w:w="3586"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eastAsia="zh-CN"/>
              </w:rPr>
              <w:t>住房公积金</w:t>
            </w:r>
          </w:p>
        </w:tc>
        <w:tc>
          <w:tcPr>
            <w:tcW w:w="30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115.55</w:t>
            </w:r>
          </w:p>
        </w:tc>
        <w:tc>
          <w:tcPr>
            <w:tcW w:w="355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115.55</w:t>
            </w:r>
          </w:p>
        </w:tc>
        <w:tc>
          <w:tcPr>
            <w:tcW w:w="305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3586"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305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355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3051"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注：本表反映部门本年度一般公共预算财政拨款支出情况。</w:t>
      </w:r>
      <w:r>
        <w:rPr>
          <w:rFonts w:hint="default" w:ascii="Times New Roman" w:hAnsi="Times New Roman" w:eastAsia="楷体_GB2312" w:cs="Times New Roman"/>
          <w:b w:val="0"/>
          <w:bCs w:val="0"/>
          <w:color w:val="auto"/>
          <w:kern w:val="0"/>
          <w:sz w:val="24"/>
          <w:szCs w:val="24"/>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bookmarkStart w:id="1" w:name="RANGE!A1:I39"/>
      <w:r>
        <w:rPr>
          <w:rFonts w:hint="default" w:ascii="Times New Roman" w:hAnsi="Times New Roman" w:eastAsia="方正大标宋简体" w:cs="Times New Roman"/>
          <w:color w:val="auto"/>
          <w:sz w:val="44"/>
          <w:szCs w:val="44"/>
        </w:rPr>
        <w:t>一般公共预算财政拨款基本支出决算表</w:t>
      </w:r>
      <w:bookmarkEnd w:id="1"/>
    </w:p>
    <w:p>
      <w:pPr>
        <w:widowControl/>
        <w:ind w:left="12438" w:hanging="12438" w:hangingChars="5900"/>
        <w:jc w:val="lef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仿宋_GB2312" w:cs="Times New Roman"/>
          <w:color w:val="auto"/>
          <w:kern w:val="0"/>
          <w:sz w:val="21"/>
          <w:szCs w:val="21"/>
          <w:lang w:eastAsia="zh-CN"/>
        </w:rPr>
        <w:t>长沙市苗圃（长沙园林生态园）</w:t>
      </w:r>
      <w:r>
        <w:rPr>
          <w:rFonts w:hint="default" w:ascii="Times New Roman" w:hAnsi="Times New Roman" w:eastAsia="楷体_GB2312" w:cs="Times New Roman"/>
          <w:b/>
          <w:bCs/>
          <w:color w:val="auto"/>
          <w:kern w:val="0"/>
          <w:szCs w:val="21"/>
        </w:rPr>
        <w:t xml:space="preserve">                                                                                                                 公开06表</w:t>
      </w:r>
    </w:p>
    <w:p>
      <w:pPr>
        <w:widowControl/>
        <w:jc w:val="righ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54"/>
        <w:gridCol w:w="2445"/>
        <w:gridCol w:w="1067"/>
        <w:gridCol w:w="871"/>
        <w:gridCol w:w="2385"/>
        <w:gridCol w:w="958"/>
        <w:gridCol w:w="797"/>
        <w:gridCol w:w="427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tblHeader/>
          <w:jc w:val="center"/>
        </w:trPr>
        <w:tc>
          <w:tcPr>
            <w:tcW w:w="10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经济分类科目编码</w:t>
            </w:r>
          </w:p>
        </w:tc>
        <w:tc>
          <w:tcPr>
            <w:tcW w:w="244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科目名称</w:t>
            </w:r>
          </w:p>
        </w:tc>
        <w:tc>
          <w:tcPr>
            <w:tcW w:w="106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决算数</w:t>
            </w:r>
          </w:p>
        </w:tc>
        <w:tc>
          <w:tcPr>
            <w:tcW w:w="87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经济分类科目编码</w:t>
            </w:r>
          </w:p>
        </w:tc>
        <w:tc>
          <w:tcPr>
            <w:tcW w:w="23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科目名称</w:t>
            </w:r>
          </w:p>
        </w:tc>
        <w:tc>
          <w:tcPr>
            <w:tcW w:w="95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决算数</w:t>
            </w:r>
          </w:p>
        </w:tc>
        <w:tc>
          <w:tcPr>
            <w:tcW w:w="7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经济分类科目编码</w:t>
            </w:r>
          </w:p>
        </w:tc>
        <w:tc>
          <w:tcPr>
            <w:tcW w:w="427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科目名称</w:t>
            </w:r>
          </w:p>
        </w:tc>
        <w:tc>
          <w:tcPr>
            <w:tcW w:w="9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黑体" w:cs="Times New Roman"/>
                <w:b w:val="0"/>
                <w:bCs w:val="0"/>
                <w:color w:val="auto"/>
                <w:kern w:val="0"/>
                <w:sz w:val="21"/>
                <w:szCs w:val="21"/>
              </w:rPr>
            </w:pPr>
            <w:r>
              <w:rPr>
                <w:rFonts w:hint="default" w:ascii="Times New Roman" w:hAnsi="Times New Roman" w:eastAsia="黑体" w:cs="Times New Roman"/>
                <w:b w:val="0"/>
                <w:bCs w:val="0"/>
                <w:color w:val="auto"/>
                <w:kern w:val="0"/>
                <w:sz w:val="21"/>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工资福利支出</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lang w:val="en-US" w:eastAsia="zh-CN"/>
              </w:rPr>
            </w:pPr>
            <w:r>
              <w:rPr>
                <w:rFonts w:hint="eastAsia" w:ascii="宋体" w:hAnsi="宋体" w:eastAsia="宋体" w:cs="宋体"/>
                <w:i w:val="0"/>
                <w:color w:val="000000"/>
                <w:kern w:val="0"/>
                <w:sz w:val="22"/>
                <w:szCs w:val="22"/>
                <w:u w:val="none"/>
                <w:lang w:val="en-US" w:eastAsia="zh-CN" w:bidi="ar"/>
              </w:rPr>
              <w:t>1,771.23</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商品和服务支出</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196.30</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307</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债务利息及费用支出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30101</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基本工资</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352.09</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30201</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办公费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6.39</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30701</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国内债务付息</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30102</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津贴补贴</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328.18</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30202</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印刷费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1.21</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30702</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国外债务付息</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30103</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奖金</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479.89</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30203</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咨询费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6.92</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资本性支出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30106</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伙食补助费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30204</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手续费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0.12</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31001</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房屋建筑物购建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30107</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绩效工资</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30205</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水费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31002</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办公设备购置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30108</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机关事业单位基本养老保险费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103.94</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30206</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电费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14.00</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31003</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专用设备购置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30109</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职业年金缴费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70.52</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30207</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邮电费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0.47</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31005</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基础设施建设</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30110</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职工基本医疗保险缴费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89.25</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30208</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取暖费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31006</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大型修缮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30111</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公务员医疗补助缴费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30209</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物业管理费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27.05</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31007</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信息网络及软件购置更新</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30112</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其他社会保障缴费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43.34</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30211</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差旅费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2.54</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31008</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物资储备</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30113</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住房公积金</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132.38</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30212</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因公出国（境）费用</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31009</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土地补偿</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30114</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医疗费</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30213</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维修（护）费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1.98</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31010</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安置补助</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30199</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其他工资福利支出</w:t>
            </w:r>
          </w:p>
        </w:tc>
        <w:tc>
          <w:tcPr>
            <w:tcW w:w="1067"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171.65</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30214</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租赁费</w:t>
            </w:r>
          </w:p>
        </w:tc>
        <w:tc>
          <w:tcPr>
            <w:tcW w:w="958"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cs="Times New Roman" w:eastAsiaTheme="minorEastAsia"/>
                <w:color w:val="auto"/>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31011</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地上附着物和青苗补偿</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对个人和家庭的补助</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198.32</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30215</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会议费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31012</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拆迁补偿</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30301</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离休费</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30216</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培训费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31013</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公务用车购置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30302</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退休费</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188.84</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30217</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公务接待费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31019</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其他交通工具购置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30303</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退职（役）费</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30218</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专用材料费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29.11</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31021</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文物和陈列品购置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30304</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抚恤金</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9.48</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30224</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被装购置费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31022</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无形资产购置</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30305</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生活补助</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30225</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专用燃料费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31099</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其他资本性支出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30306</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救济费</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30226</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劳务费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3.12</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399</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其他支出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30307</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医疗费补助</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30227</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委托业务费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39906</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赠与</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30308</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助学金</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30228</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工会经费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17.11</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39907</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国家赔偿费用支出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30309</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奖励金</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30229</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福利费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39908</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对民间非营利组织和群众性自治组织补贴</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30310</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个人农业生产补贴</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30231</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公务用车运行维护费</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4.41</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39999</w:t>
            </w: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其他支出</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30399</w:t>
            </w: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对其他个人和家庭的补助支出</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30239</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其他交通费用</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14.79</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30240</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xml:space="preserve">  税金及附加费用</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11.66</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105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244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87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30299</w:t>
            </w:r>
          </w:p>
        </w:tc>
        <w:tc>
          <w:tcPr>
            <w:tcW w:w="23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其他商品和服务支出</w:t>
            </w:r>
          </w:p>
        </w:tc>
        <w:tc>
          <w:tcPr>
            <w:tcW w:w="958"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55.42</w:t>
            </w:r>
          </w:p>
        </w:tc>
        <w:tc>
          <w:tcPr>
            <w:tcW w:w="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4279"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c>
          <w:tcPr>
            <w:tcW w:w="951"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jc w:val="center"/>
        </w:trPr>
        <w:tc>
          <w:tcPr>
            <w:tcW w:w="3499"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人员经费合计</w:t>
            </w:r>
          </w:p>
        </w:tc>
        <w:tc>
          <w:tcPr>
            <w:tcW w:w="106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1969.55</w:t>
            </w:r>
          </w:p>
        </w:tc>
        <w:tc>
          <w:tcPr>
            <w:tcW w:w="9290" w:type="dxa"/>
            <w:gridSpan w:val="5"/>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公用经费合计</w:t>
            </w:r>
          </w:p>
        </w:tc>
        <w:tc>
          <w:tcPr>
            <w:tcW w:w="95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eastAsiaTheme="minorEastAsia"/>
                <w:color w:val="auto"/>
                <w:kern w:val="0"/>
                <w:sz w:val="21"/>
                <w:szCs w:val="21"/>
                <w:lang w:val="en-US" w:eastAsia="zh-CN"/>
              </w:rPr>
            </w:pPr>
            <w:r>
              <w:rPr>
                <w:rFonts w:hint="eastAsia" w:ascii="Times New Roman" w:hAnsi="Times New Roman" w:cs="Times New Roman"/>
                <w:color w:val="auto"/>
                <w:kern w:val="0"/>
                <w:sz w:val="21"/>
                <w:szCs w:val="21"/>
                <w:lang w:val="en-US" w:eastAsia="zh-CN"/>
              </w:rPr>
              <w:t>196.30</w:t>
            </w: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注：本表反映部门年度一般公共预算财政拨款基本支出明细情况。</w:t>
      </w:r>
      <w:r>
        <w:rPr>
          <w:rFonts w:hint="default" w:ascii="Times New Roman" w:hAnsi="Times New Roman" w:eastAsia="楷体_GB2312" w:cs="Times New Roman"/>
          <w:b w:val="0"/>
          <w:bCs w:val="0"/>
          <w:color w:val="auto"/>
          <w:kern w:val="0"/>
          <w:sz w:val="24"/>
          <w:szCs w:val="24"/>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r>
        <w:rPr>
          <w:rFonts w:hint="default" w:ascii="Times New Roman" w:hAnsi="Times New Roman" w:eastAsia="方正大标宋简体" w:cs="Times New Roman"/>
          <w:color w:val="auto"/>
          <w:sz w:val="44"/>
          <w:szCs w:val="44"/>
        </w:rPr>
        <w:t>一般公共预算财政拨款“三公”经费支出决算表</w:t>
      </w:r>
    </w:p>
    <w:p>
      <w:pPr>
        <w:widowControl/>
        <w:ind w:left="12438" w:hanging="12438" w:hangingChars="5900"/>
        <w:jc w:val="lef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 xml:space="preserve">部门： </w:t>
      </w:r>
      <w:r>
        <w:rPr>
          <w:rFonts w:hint="eastAsia" w:ascii="Times New Roman" w:hAnsi="Times New Roman" w:eastAsia="楷体_GB2312" w:cs="Times New Roman"/>
          <w:b/>
          <w:bCs/>
          <w:color w:val="auto"/>
          <w:kern w:val="0"/>
          <w:szCs w:val="21"/>
          <w:lang w:eastAsia="zh-CN"/>
        </w:rPr>
        <w:t>长沙市苗圃（长沙园林生态园）</w:t>
      </w:r>
      <w:r>
        <w:rPr>
          <w:rFonts w:hint="default" w:ascii="Times New Roman" w:hAnsi="Times New Roman" w:eastAsia="楷体_GB2312" w:cs="Times New Roman"/>
          <w:b/>
          <w:bCs/>
          <w:color w:val="auto"/>
          <w:kern w:val="0"/>
          <w:szCs w:val="21"/>
        </w:rPr>
        <w:t xml:space="preserve">            </w:t>
      </w:r>
      <w:r>
        <w:rPr>
          <w:rFonts w:hint="default" w:ascii="Times New Roman" w:hAnsi="Times New Roman" w:eastAsia="楷体_GB2312" w:cs="Times New Roman"/>
          <w:b/>
          <w:bCs/>
          <w:color w:val="auto"/>
          <w:kern w:val="0"/>
          <w:szCs w:val="21"/>
          <w:lang w:val="en-US" w:eastAsia="zh-CN"/>
        </w:rPr>
        <w:t xml:space="preserve"> </w:t>
      </w:r>
      <w:r>
        <w:rPr>
          <w:rFonts w:hint="default" w:ascii="Times New Roman" w:hAnsi="Times New Roman" w:eastAsia="楷体_GB2312" w:cs="Times New Roman"/>
          <w:b/>
          <w:bCs/>
          <w:color w:val="auto"/>
          <w:kern w:val="0"/>
          <w:szCs w:val="21"/>
        </w:rPr>
        <w:t xml:space="preserve">                                                                                                   公开07表</w:t>
      </w:r>
    </w:p>
    <w:p>
      <w:pPr>
        <w:widowControl/>
        <w:jc w:val="righ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211"/>
        <w:gridCol w:w="1203"/>
        <w:gridCol w:w="1201"/>
        <w:gridCol w:w="1203"/>
        <w:gridCol w:w="1203"/>
        <w:gridCol w:w="1205"/>
        <w:gridCol w:w="1211"/>
        <w:gridCol w:w="1205"/>
        <w:gridCol w:w="1201"/>
        <w:gridCol w:w="121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20" w:type="dxa"/>
            <w:gridSpan w:val="6"/>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预算数</w:t>
            </w:r>
          </w:p>
        </w:tc>
        <w:tc>
          <w:tcPr>
            <w:tcW w:w="7320" w:type="dxa"/>
            <w:gridSpan w:val="6"/>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合计</w:t>
            </w:r>
          </w:p>
        </w:tc>
        <w:tc>
          <w:tcPr>
            <w:tcW w:w="122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因公出国（境）费</w:t>
            </w:r>
          </w:p>
        </w:tc>
        <w:tc>
          <w:tcPr>
            <w:tcW w:w="3660" w:type="dxa"/>
            <w:gridSpan w:val="3"/>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公务用车购置及运行费</w:t>
            </w:r>
          </w:p>
        </w:tc>
        <w:tc>
          <w:tcPr>
            <w:tcW w:w="122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公务</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接待费</w:t>
            </w:r>
          </w:p>
        </w:tc>
        <w:tc>
          <w:tcPr>
            <w:tcW w:w="122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合计</w:t>
            </w:r>
          </w:p>
        </w:tc>
        <w:tc>
          <w:tcPr>
            <w:tcW w:w="122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因公出国（境）费</w:t>
            </w:r>
          </w:p>
        </w:tc>
        <w:tc>
          <w:tcPr>
            <w:tcW w:w="3660" w:type="dxa"/>
            <w:gridSpan w:val="3"/>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公务用车购置及运行费</w:t>
            </w:r>
          </w:p>
        </w:tc>
        <w:tc>
          <w:tcPr>
            <w:tcW w:w="1220"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公务</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continue"/>
            <w:tcBorders>
              <w:tl2br w:val="nil"/>
              <w:tr2bl w:val="nil"/>
            </w:tcBorders>
            <w:vAlign w:val="center"/>
          </w:tcPr>
          <w:p>
            <w:pPr>
              <w:widowControl/>
              <w:jc w:val="left"/>
              <w:rPr>
                <w:rFonts w:hint="default" w:ascii="Times New Roman" w:hAnsi="Times New Roman" w:eastAsia="黑体" w:cs="Times New Roman"/>
                <w:color w:val="auto"/>
                <w:kern w:val="0"/>
                <w:sz w:val="21"/>
                <w:szCs w:val="21"/>
              </w:rPr>
            </w:pPr>
          </w:p>
        </w:tc>
        <w:tc>
          <w:tcPr>
            <w:tcW w:w="1220" w:type="dxa"/>
            <w:vMerge w:val="continue"/>
            <w:tcBorders>
              <w:tl2br w:val="nil"/>
              <w:tr2bl w:val="nil"/>
            </w:tcBorders>
            <w:vAlign w:val="center"/>
          </w:tcPr>
          <w:p>
            <w:pPr>
              <w:widowControl/>
              <w:jc w:val="left"/>
              <w:rPr>
                <w:rFonts w:hint="default" w:ascii="Times New Roman" w:hAnsi="Times New Roman" w:eastAsia="黑体" w:cs="Times New Roman"/>
                <w:color w:val="auto"/>
                <w:kern w:val="0"/>
                <w:sz w:val="21"/>
                <w:szCs w:val="21"/>
              </w:rPr>
            </w:pPr>
          </w:p>
        </w:tc>
        <w:tc>
          <w:tcPr>
            <w:tcW w:w="1220" w:type="dxa"/>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小计</w:t>
            </w:r>
          </w:p>
        </w:tc>
        <w:tc>
          <w:tcPr>
            <w:tcW w:w="1220" w:type="dxa"/>
            <w:tcBorders>
              <w:tl2br w:val="nil"/>
              <w:tr2bl w:val="nil"/>
            </w:tcBorders>
            <w:shd w:val="clear" w:color="auto" w:fill="auto"/>
            <w:vAlign w:val="center"/>
          </w:tcPr>
          <w:p>
            <w:pPr>
              <w:widowControl/>
              <w:jc w:val="center"/>
              <w:rPr>
                <w:rFonts w:hint="eastAsia" w:ascii="Times New Roman" w:hAnsi="Times New Roman" w:eastAsia="黑体" w:cs="Times New Roman"/>
                <w:color w:val="auto"/>
                <w:kern w:val="0"/>
                <w:sz w:val="21"/>
                <w:szCs w:val="21"/>
                <w:lang w:eastAsia="zh-CN"/>
              </w:rPr>
            </w:pPr>
            <w:r>
              <w:rPr>
                <w:rFonts w:hint="default" w:ascii="Times New Roman" w:hAnsi="Times New Roman" w:eastAsia="黑体" w:cs="Times New Roman"/>
                <w:color w:val="auto"/>
                <w:kern w:val="0"/>
                <w:sz w:val="21"/>
                <w:szCs w:val="21"/>
              </w:rPr>
              <w:t>公务用车</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购置费</w:t>
            </w:r>
          </w:p>
        </w:tc>
        <w:tc>
          <w:tcPr>
            <w:tcW w:w="1220" w:type="dxa"/>
            <w:tcBorders>
              <w:tl2br w:val="nil"/>
              <w:tr2bl w:val="nil"/>
            </w:tcBorders>
            <w:shd w:val="clear" w:color="auto" w:fill="auto"/>
            <w:vAlign w:val="center"/>
          </w:tcPr>
          <w:p>
            <w:pPr>
              <w:widowControl/>
              <w:jc w:val="center"/>
              <w:rPr>
                <w:rFonts w:hint="eastAsia" w:ascii="Times New Roman" w:hAnsi="Times New Roman" w:eastAsia="黑体" w:cs="Times New Roman"/>
                <w:color w:val="auto"/>
                <w:kern w:val="0"/>
                <w:sz w:val="21"/>
                <w:szCs w:val="21"/>
                <w:lang w:eastAsia="zh-CN"/>
              </w:rPr>
            </w:pPr>
            <w:r>
              <w:rPr>
                <w:rFonts w:hint="default" w:ascii="Times New Roman" w:hAnsi="Times New Roman" w:eastAsia="黑体" w:cs="Times New Roman"/>
                <w:color w:val="auto"/>
                <w:kern w:val="0"/>
                <w:sz w:val="21"/>
                <w:szCs w:val="21"/>
              </w:rPr>
              <w:t>公务用车</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运行费</w:t>
            </w:r>
          </w:p>
        </w:tc>
        <w:tc>
          <w:tcPr>
            <w:tcW w:w="1220" w:type="dxa"/>
            <w:vMerge w:val="continue"/>
            <w:tcBorders>
              <w:tl2br w:val="nil"/>
              <w:tr2bl w:val="nil"/>
            </w:tcBorders>
            <w:vAlign w:val="center"/>
          </w:tcPr>
          <w:p>
            <w:pPr>
              <w:widowControl/>
              <w:jc w:val="left"/>
              <w:rPr>
                <w:rFonts w:hint="default" w:ascii="Times New Roman" w:hAnsi="Times New Roman" w:eastAsia="黑体" w:cs="Times New Roman"/>
                <w:color w:val="auto"/>
                <w:kern w:val="0"/>
                <w:sz w:val="21"/>
                <w:szCs w:val="21"/>
              </w:rPr>
            </w:pPr>
          </w:p>
        </w:tc>
        <w:tc>
          <w:tcPr>
            <w:tcW w:w="1220" w:type="dxa"/>
            <w:vMerge w:val="continue"/>
            <w:tcBorders>
              <w:tl2br w:val="nil"/>
              <w:tr2bl w:val="nil"/>
            </w:tcBorders>
            <w:vAlign w:val="center"/>
          </w:tcPr>
          <w:p>
            <w:pPr>
              <w:widowControl/>
              <w:jc w:val="left"/>
              <w:rPr>
                <w:rFonts w:hint="default" w:ascii="Times New Roman" w:hAnsi="Times New Roman" w:eastAsia="黑体" w:cs="Times New Roman"/>
                <w:color w:val="auto"/>
                <w:kern w:val="0"/>
                <w:sz w:val="21"/>
                <w:szCs w:val="21"/>
              </w:rPr>
            </w:pPr>
          </w:p>
        </w:tc>
        <w:tc>
          <w:tcPr>
            <w:tcW w:w="1220" w:type="dxa"/>
            <w:vMerge w:val="continue"/>
            <w:tcBorders>
              <w:tl2br w:val="nil"/>
              <w:tr2bl w:val="nil"/>
            </w:tcBorders>
            <w:vAlign w:val="center"/>
          </w:tcPr>
          <w:p>
            <w:pPr>
              <w:widowControl/>
              <w:jc w:val="left"/>
              <w:rPr>
                <w:rFonts w:hint="default" w:ascii="Times New Roman" w:hAnsi="Times New Roman" w:eastAsia="黑体" w:cs="Times New Roman"/>
                <w:color w:val="auto"/>
                <w:kern w:val="0"/>
                <w:sz w:val="21"/>
                <w:szCs w:val="21"/>
              </w:rPr>
            </w:pPr>
          </w:p>
        </w:tc>
        <w:tc>
          <w:tcPr>
            <w:tcW w:w="1220" w:type="dxa"/>
            <w:tcBorders>
              <w:tl2br w:val="nil"/>
              <w:tr2bl w:val="nil"/>
            </w:tcBorders>
            <w:shd w:val="clear" w:color="auto" w:fill="auto"/>
            <w:vAlign w:val="center"/>
          </w:tcPr>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小计</w:t>
            </w:r>
          </w:p>
        </w:tc>
        <w:tc>
          <w:tcPr>
            <w:tcW w:w="1220" w:type="dxa"/>
            <w:tcBorders>
              <w:tl2br w:val="nil"/>
              <w:tr2bl w:val="nil"/>
            </w:tcBorders>
            <w:shd w:val="clear" w:color="auto" w:fill="auto"/>
            <w:vAlign w:val="center"/>
          </w:tcPr>
          <w:p>
            <w:pPr>
              <w:widowControl/>
              <w:jc w:val="center"/>
              <w:rPr>
                <w:rFonts w:hint="eastAsia" w:ascii="Times New Roman" w:hAnsi="Times New Roman" w:eastAsia="黑体" w:cs="Times New Roman"/>
                <w:color w:val="auto"/>
                <w:kern w:val="0"/>
                <w:sz w:val="21"/>
                <w:szCs w:val="21"/>
                <w:lang w:eastAsia="zh-CN"/>
              </w:rPr>
            </w:pPr>
            <w:r>
              <w:rPr>
                <w:rFonts w:hint="default" w:ascii="Times New Roman" w:hAnsi="Times New Roman" w:eastAsia="黑体" w:cs="Times New Roman"/>
                <w:color w:val="auto"/>
                <w:kern w:val="0"/>
                <w:sz w:val="21"/>
                <w:szCs w:val="21"/>
              </w:rPr>
              <w:t>公务用车</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购置费</w:t>
            </w:r>
          </w:p>
        </w:tc>
        <w:tc>
          <w:tcPr>
            <w:tcW w:w="1220" w:type="dxa"/>
            <w:tcBorders>
              <w:tl2br w:val="nil"/>
              <w:tr2bl w:val="nil"/>
            </w:tcBorders>
            <w:shd w:val="clear" w:color="auto" w:fill="auto"/>
            <w:vAlign w:val="center"/>
          </w:tcPr>
          <w:p>
            <w:pPr>
              <w:widowControl/>
              <w:jc w:val="center"/>
              <w:rPr>
                <w:rFonts w:hint="eastAsia" w:ascii="Times New Roman" w:hAnsi="Times New Roman" w:eastAsia="黑体" w:cs="Times New Roman"/>
                <w:color w:val="auto"/>
                <w:kern w:val="0"/>
                <w:sz w:val="21"/>
                <w:szCs w:val="21"/>
                <w:lang w:eastAsia="zh-CN"/>
              </w:rPr>
            </w:pPr>
            <w:r>
              <w:rPr>
                <w:rFonts w:hint="default" w:ascii="Times New Roman" w:hAnsi="Times New Roman" w:eastAsia="黑体" w:cs="Times New Roman"/>
                <w:color w:val="auto"/>
                <w:kern w:val="0"/>
                <w:sz w:val="21"/>
                <w:szCs w:val="21"/>
              </w:rPr>
              <w:t>公务用车</w:t>
            </w:r>
          </w:p>
          <w:p>
            <w:pPr>
              <w:widowControl/>
              <w:jc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运行费</w:t>
            </w:r>
          </w:p>
        </w:tc>
        <w:tc>
          <w:tcPr>
            <w:tcW w:w="1220" w:type="dxa"/>
            <w:vMerge w:val="continue"/>
            <w:tcBorders>
              <w:tl2br w:val="nil"/>
              <w:tr2bl w:val="nil"/>
            </w:tcBorders>
            <w:vAlign w:val="center"/>
          </w:tcPr>
          <w:p>
            <w:pPr>
              <w:widowControl/>
              <w:jc w:val="left"/>
              <w:rPr>
                <w:rFonts w:hint="default" w:ascii="Times New Roman" w:hAnsi="Times New Roman" w:eastAsia="黑体" w:cs="Times New Roman"/>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6</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7</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8</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9</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10</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11</w:t>
            </w:r>
          </w:p>
        </w:tc>
        <w:tc>
          <w:tcPr>
            <w:tcW w:w="1220"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6.9</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6.4</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6.4</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0.5</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4.41</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lang w:val="en-US" w:eastAsia="zh-CN"/>
              </w:rPr>
            </w:pPr>
            <w:r>
              <w:rPr>
                <w:rFonts w:hint="default" w:ascii="Times New Roman" w:hAnsi="Times New Roman" w:cs="Times New Roman" w:eastAsiaTheme="minorEastAsia"/>
                <w:color w:val="auto"/>
                <w:kern w:val="0"/>
                <w:sz w:val="21"/>
                <w:szCs w:val="21"/>
              </w:rPr>
              <w:t>　</w:t>
            </w:r>
            <w:r>
              <w:rPr>
                <w:rFonts w:hint="eastAsia" w:ascii="Times New Roman" w:hAnsi="Times New Roman" w:cs="Times New Roman"/>
                <w:color w:val="auto"/>
                <w:kern w:val="0"/>
                <w:sz w:val="21"/>
                <w:szCs w:val="21"/>
                <w:lang w:val="en-US" w:eastAsia="zh-CN"/>
              </w:rPr>
              <w:t>4.41</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220" w:type="dxa"/>
            <w:tcBorders>
              <w:tl2br w:val="nil"/>
              <w:tr2bl w:val="nil"/>
            </w:tcBorders>
            <w:shd w:val="clear" w:color="auto" w:fill="auto"/>
            <w:vAlign w:val="center"/>
          </w:tcPr>
          <w:p>
            <w:pPr>
              <w:widowControl/>
              <w:ind w:firstLine="210" w:firstLineChars="100"/>
              <w:jc w:val="left"/>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4.41</w:t>
            </w:r>
            <w:r>
              <w:rPr>
                <w:rFonts w:hint="default" w:ascii="Times New Roman" w:hAnsi="Times New Roman" w:cs="Times New Roman" w:eastAsiaTheme="minorEastAsia"/>
                <w:color w:val="auto"/>
                <w:kern w:val="0"/>
                <w:sz w:val="21"/>
                <w:szCs w:val="21"/>
              </w:rPr>
              <w:t>　</w:t>
            </w:r>
          </w:p>
        </w:tc>
        <w:tc>
          <w:tcPr>
            <w:tcW w:w="1220"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bl>
    <w:p>
      <w:pPr>
        <w:keepNext w:val="0"/>
        <w:keepLines w:val="0"/>
        <w:pageBreakBefore w:val="0"/>
        <w:widowControl/>
        <w:kinsoku/>
        <w:wordWrap/>
        <w:overflowPunct/>
        <w:topLinePunct w:val="0"/>
        <w:autoSpaceDE/>
        <w:autoSpaceDN/>
        <w:bidi w:val="0"/>
        <w:adjustRightInd/>
        <w:snapToGrid/>
        <w:spacing w:before="157" w:beforeLines="50"/>
        <w:ind w:left="439" w:leftChars="0" w:hanging="439" w:hangingChars="183"/>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br w:type="page"/>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jc w:val="center"/>
        <w:textAlignment w:val="auto"/>
        <w:rPr>
          <w:rFonts w:hint="default" w:ascii="Times New Roman" w:hAnsi="Times New Roman" w:eastAsia="方正大标宋简体" w:cs="Times New Roman"/>
          <w:color w:val="auto"/>
          <w:sz w:val="44"/>
          <w:szCs w:val="44"/>
        </w:rPr>
      </w:pPr>
      <w:r>
        <w:rPr>
          <w:rFonts w:hint="default" w:ascii="Times New Roman" w:hAnsi="Times New Roman" w:eastAsia="方正大标宋简体" w:cs="Times New Roman"/>
          <w:color w:val="auto"/>
          <w:sz w:val="44"/>
          <w:szCs w:val="44"/>
        </w:rPr>
        <w:t>政府性基金预算财政拨款收支决算表</w:t>
      </w:r>
    </w:p>
    <w:p>
      <w:pPr>
        <w:widowControl/>
        <w:jc w:val="lef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部门：</w:t>
      </w:r>
      <w:r>
        <w:rPr>
          <w:rFonts w:hint="eastAsia" w:ascii="Times New Roman" w:hAnsi="Times New Roman" w:eastAsia="楷体_GB2312" w:cs="Times New Roman"/>
          <w:b/>
          <w:bCs/>
          <w:color w:val="auto"/>
          <w:kern w:val="0"/>
          <w:szCs w:val="21"/>
          <w:lang w:eastAsia="zh-CN"/>
        </w:rPr>
        <w:t>长沙市苗圃（长沙园林生态园）</w:t>
      </w:r>
      <w:r>
        <w:rPr>
          <w:rFonts w:hint="default" w:ascii="Times New Roman" w:hAnsi="Times New Roman" w:eastAsia="楷体_GB2312" w:cs="Times New Roman"/>
          <w:b/>
          <w:bCs/>
          <w:color w:val="auto"/>
          <w:kern w:val="0"/>
          <w:szCs w:val="21"/>
        </w:rPr>
        <w:t xml:space="preserve">                                                                                    公开08表</w:t>
      </w:r>
    </w:p>
    <w:p>
      <w:pPr>
        <w:widowControl/>
        <w:jc w:val="right"/>
        <w:rPr>
          <w:rFonts w:hint="default" w:ascii="Times New Roman" w:hAnsi="Times New Roman" w:eastAsia="楷体_GB2312" w:cs="Times New Roman"/>
          <w:b/>
          <w:bCs/>
          <w:color w:val="auto"/>
          <w:kern w:val="0"/>
          <w:szCs w:val="21"/>
        </w:rPr>
      </w:pPr>
      <w:r>
        <w:rPr>
          <w:rFonts w:hint="default" w:ascii="Times New Roman" w:hAnsi="Times New Roman" w:eastAsia="楷体_GB2312" w:cs="Times New Roman"/>
          <w:b/>
          <w:bCs/>
          <w:color w:val="auto"/>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322"/>
        <w:gridCol w:w="2002"/>
        <w:gridCol w:w="2002"/>
        <w:gridCol w:w="2002"/>
        <w:gridCol w:w="2002"/>
        <w:gridCol w:w="20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项    目</w:t>
            </w:r>
          </w:p>
        </w:tc>
        <w:tc>
          <w:tcPr>
            <w:tcW w:w="2002" w:type="dxa"/>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年初结转和结余</w:t>
            </w:r>
          </w:p>
        </w:tc>
        <w:tc>
          <w:tcPr>
            <w:tcW w:w="2002" w:type="dxa"/>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本年收入</w:t>
            </w:r>
          </w:p>
        </w:tc>
        <w:tc>
          <w:tcPr>
            <w:tcW w:w="6007" w:type="dxa"/>
            <w:gridSpan w:val="3"/>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本年支出</w:t>
            </w:r>
          </w:p>
        </w:tc>
        <w:tc>
          <w:tcPr>
            <w:tcW w:w="2003" w:type="dxa"/>
            <w:vMerge w:val="restart"/>
            <w:tcBorders>
              <w:tl2br w:val="nil"/>
              <w:tr2bl w:val="nil"/>
            </w:tcBorders>
            <w:shd w:val="clear" w:color="auto" w:fill="auto"/>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功能分类科目编码</w:t>
            </w:r>
          </w:p>
        </w:tc>
        <w:tc>
          <w:tcPr>
            <w:tcW w:w="1322"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科目名称</w:t>
            </w:r>
          </w:p>
        </w:tc>
        <w:tc>
          <w:tcPr>
            <w:tcW w:w="2002" w:type="dxa"/>
            <w:tcBorders>
              <w:tl2br w:val="nil"/>
              <w:tr2bl w:val="nil"/>
            </w:tcBorders>
            <w:vAlign w:val="center"/>
          </w:tcPr>
          <w:p>
            <w:pPr>
              <w:widowControl/>
              <w:jc w:val="left"/>
              <w:rPr>
                <w:rFonts w:hint="default" w:ascii="Times New Roman" w:hAnsi="Times New Roman" w:eastAsia="黑体" w:cs="Times New Roman"/>
                <w:b w:val="0"/>
                <w:bCs/>
                <w:color w:val="auto"/>
                <w:kern w:val="0"/>
                <w:sz w:val="21"/>
                <w:szCs w:val="21"/>
              </w:rPr>
            </w:pPr>
          </w:p>
        </w:tc>
        <w:tc>
          <w:tcPr>
            <w:tcW w:w="2002" w:type="dxa"/>
            <w:tcBorders>
              <w:tl2br w:val="nil"/>
              <w:tr2bl w:val="nil"/>
            </w:tcBorders>
            <w:vAlign w:val="center"/>
          </w:tcPr>
          <w:p>
            <w:pPr>
              <w:widowControl/>
              <w:jc w:val="left"/>
              <w:rPr>
                <w:rFonts w:hint="default" w:ascii="Times New Roman" w:hAnsi="Times New Roman" w:eastAsia="黑体" w:cs="Times New Roman"/>
                <w:b w:val="0"/>
                <w:bCs/>
                <w:color w:val="auto"/>
                <w:kern w:val="0"/>
                <w:sz w:val="21"/>
                <w:szCs w:val="21"/>
              </w:rPr>
            </w:pPr>
          </w:p>
        </w:tc>
        <w:tc>
          <w:tcPr>
            <w:tcW w:w="2002"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小计</w:t>
            </w:r>
          </w:p>
        </w:tc>
        <w:tc>
          <w:tcPr>
            <w:tcW w:w="2002"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 xml:space="preserve">基本支出  </w:t>
            </w:r>
          </w:p>
        </w:tc>
        <w:tc>
          <w:tcPr>
            <w:tcW w:w="2003" w:type="dxa"/>
            <w:tcBorders>
              <w:tl2br w:val="nil"/>
              <w:tr2bl w:val="nil"/>
            </w:tcBorders>
            <w:vAlign w:val="center"/>
          </w:tcPr>
          <w:p>
            <w:pPr>
              <w:widowControl/>
              <w:jc w:val="center"/>
              <w:rPr>
                <w:rFonts w:hint="default" w:ascii="Times New Roman" w:hAnsi="Times New Roman" w:eastAsia="黑体" w:cs="Times New Roman"/>
                <w:b w:val="0"/>
                <w:bCs/>
                <w:color w:val="auto"/>
                <w:kern w:val="0"/>
                <w:sz w:val="21"/>
                <w:szCs w:val="21"/>
              </w:rPr>
            </w:pPr>
            <w:r>
              <w:rPr>
                <w:rFonts w:hint="default" w:ascii="Times New Roman" w:hAnsi="Times New Roman" w:eastAsia="黑体" w:cs="Times New Roman"/>
                <w:b w:val="0"/>
                <w:bCs/>
                <w:color w:val="auto"/>
                <w:kern w:val="0"/>
                <w:sz w:val="21"/>
                <w:szCs w:val="21"/>
              </w:rPr>
              <w:t>项目支出</w:t>
            </w:r>
          </w:p>
        </w:tc>
        <w:tc>
          <w:tcPr>
            <w:tcW w:w="2003" w:type="dxa"/>
            <w:vMerge w:val="continue"/>
            <w:tcBorders>
              <w:tl2br w:val="nil"/>
              <w:tr2bl w:val="nil"/>
            </w:tcBorders>
            <w:vAlign w:val="center"/>
          </w:tcPr>
          <w:p>
            <w:pPr>
              <w:widowControl/>
              <w:jc w:val="left"/>
              <w:rPr>
                <w:rFonts w:hint="default" w:ascii="Times New Roman" w:hAnsi="Times New Roman" w:eastAsia="黑体" w:cs="Times New Roman"/>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栏次</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1</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2</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3</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4</w:t>
            </w:r>
          </w:p>
        </w:tc>
        <w:tc>
          <w:tcPr>
            <w:tcW w:w="2003"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5</w:t>
            </w:r>
          </w:p>
        </w:tc>
        <w:tc>
          <w:tcPr>
            <w:tcW w:w="2003"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43" w:type="dxa"/>
            <w:gridSpan w:val="2"/>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合计</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32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32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32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32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32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1" w:type="dxa"/>
            <w:tcBorders>
              <w:tl2br w:val="nil"/>
              <w:tr2bl w:val="nil"/>
            </w:tcBorders>
            <w:shd w:val="clear" w:color="auto" w:fill="auto"/>
            <w:vAlign w:val="center"/>
          </w:tcPr>
          <w:p>
            <w:pPr>
              <w:widowControl/>
              <w:jc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132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2"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c>
          <w:tcPr>
            <w:tcW w:w="2003" w:type="dxa"/>
            <w:tcBorders>
              <w:tl2br w:val="nil"/>
              <w:tr2bl w:val="nil"/>
            </w:tcBorders>
            <w:shd w:val="clear" w:color="auto" w:fill="auto"/>
            <w:vAlign w:val="center"/>
          </w:tcPr>
          <w:p>
            <w:pPr>
              <w:widowControl/>
              <w:jc w:val="left"/>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　</w:t>
            </w:r>
          </w:p>
        </w:tc>
      </w:tr>
    </w:tbl>
    <w:p>
      <w:pPr>
        <w:keepNext w:val="0"/>
        <w:keepLines w:val="0"/>
        <w:pageBreakBefore w:val="0"/>
        <w:widowControl/>
        <w:kinsoku/>
        <w:wordWrap/>
        <w:overflowPunct/>
        <w:topLinePunct w:val="0"/>
        <w:autoSpaceDE/>
        <w:autoSpaceDN/>
        <w:bidi w:val="0"/>
        <w:adjustRightInd/>
        <w:snapToGrid/>
        <w:spacing w:before="157" w:beforeLines="50"/>
        <w:ind w:left="439" w:leftChars="0" w:hanging="439" w:hangingChars="183"/>
        <w:jc w:val="left"/>
        <w:textAlignment w:val="auto"/>
        <w:rPr>
          <w:rFonts w:hint="default" w:ascii="Times New Roman" w:hAnsi="Times New Roman" w:eastAsia="楷体_GB2312" w:cs="Times New Roman"/>
          <w:b w:val="0"/>
          <w:bCs w:val="0"/>
          <w:color w:val="auto"/>
          <w:kern w:val="0"/>
          <w:sz w:val="24"/>
          <w:szCs w:val="24"/>
        </w:rPr>
      </w:pPr>
      <w:r>
        <w:rPr>
          <w:rFonts w:hint="default" w:ascii="Times New Roman" w:hAnsi="Times New Roman" w:eastAsia="楷体_GB2312" w:cs="Times New Roman"/>
          <w:b w:val="0"/>
          <w:bCs w:val="0"/>
          <w:color w:val="auto"/>
          <w:kern w:val="0"/>
          <w:sz w:val="24"/>
          <w:szCs w:val="24"/>
        </w:rPr>
        <w:t>注：本表反映部门本年度政府性基金预算财政拨款收入、支出及结转和结余情况</w:t>
      </w:r>
    </w:p>
    <w:p>
      <w:pPr>
        <w:keepNext w:val="0"/>
        <w:keepLines w:val="0"/>
        <w:pageBreakBefore w:val="0"/>
        <w:widowControl/>
        <w:kinsoku/>
        <w:wordWrap/>
        <w:overflowPunct/>
        <w:topLinePunct w:val="0"/>
        <w:autoSpaceDE/>
        <w:autoSpaceDN/>
        <w:bidi w:val="0"/>
        <w:adjustRightInd/>
        <w:snapToGrid/>
        <w:ind w:left="439" w:leftChars="0" w:hanging="439" w:hangingChars="183"/>
        <w:jc w:val="left"/>
        <w:textAlignment w:val="auto"/>
        <w:rPr>
          <w:rFonts w:hint="default" w:ascii="Times New Roman" w:hAnsi="Times New Roman" w:eastAsia="黑体" w:cs="Times New Roman"/>
          <w:color w:val="auto"/>
          <w:szCs w:val="21"/>
        </w:rPr>
      </w:pPr>
      <w:r>
        <w:rPr>
          <w:rFonts w:hint="eastAsia" w:ascii="Times New Roman" w:hAnsi="Times New Roman" w:eastAsia="楷体_GB2312" w:cs="Times New Roman"/>
          <w:b w:val="0"/>
          <w:bCs w:val="0"/>
          <w:color w:val="auto"/>
          <w:kern w:val="0"/>
          <w:sz w:val="24"/>
          <w:szCs w:val="24"/>
          <w:lang w:eastAsia="zh-CN"/>
        </w:rPr>
        <w:t>说明：本单位</w:t>
      </w:r>
      <w:r>
        <w:rPr>
          <w:rFonts w:hint="default" w:ascii="Times New Roman" w:hAnsi="Times New Roman" w:eastAsia="楷体_GB2312" w:cs="Times New Roman"/>
          <w:b w:val="0"/>
          <w:bCs w:val="0"/>
          <w:color w:val="auto"/>
          <w:kern w:val="0"/>
          <w:sz w:val="24"/>
          <w:szCs w:val="24"/>
        </w:rPr>
        <w:t>没有政府性基金收入，也没有使用政府性基金安排的支出，故本表无数据。</w:t>
      </w:r>
    </w:p>
    <w:p>
      <w:pPr>
        <w:pStyle w:val="11"/>
        <w:rPr>
          <w:rFonts w:hint="default" w:ascii="Times New Roman" w:hAnsi="Times New Roman" w:cs="Times New Roman"/>
          <w:color w:val="auto"/>
          <w:sz w:val="72"/>
          <w:szCs w:val="72"/>
        </w:rPr>
        <w:sectPr>
          <w:pgSz w:w="16838" w:h="11906" w:orient="landscape"/>
          <w:pgMar w:top="567" w:right="1701" w:bottom="497" w:left="1701" w:header="851" w:footer="141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11"/>
        <w:jc w:val="center"/>
        <w:rPr>
          <w:rFonts w:hint="default" w:ascii="Times New Roman" w:hAnsi="Times New Roman" w:eastAsia="方正大标宋简体" w:cs="Times New Roman"/>
          <w:color w:val="auto"/>
          <w:sz w:val="36"/>
          <w:szCs w:val="36"/>
        </w:rPr>
      </w:pPr>
      <w:r>
        <w:rPr>
          <w:rFonts w:hint="default" w:ascii="Times New Roman" w:hAnsi="Times New Roman" w:eastAsia="方正大标宋简体" w:cs="Times New Roman"/>
          <w:color w:val="auto"/>
          <w:sz w:val="36"/>
          <w:szCs w:val="36"/>
        </w:rPr>
        <w:t>第三部分</w:t>
      </w:r>
      <w:r>
        <w:rPr>
          <w:rFonts w:hint="eastAsia" w:ascii="Times New Roman" w:hAnsi="Times New Roman" w:eastAsia="方正大标宋简体" w:cs="Times New Roman"/>
          <w:color w:val="auto"/>
          <w:sz w:val="36"/>
          <w:szCs w:val="36"/>
          <w:lang w:val="en-US" w:eastAsia="zh-CN"/>
        </w:rPr>
        <w:t xml:space="preserve">  </w:t>
      </w:r>
      <w:r>
        <w:rPr>
          <w:rFonts w:hint="default" w:ascii="Times New Roman" w:hAnsi="Times New Roman" w:eastAsia="方正大标宋简体" w:cs="Times New Roman"/>
          <w:color w:val="auto"/>
          <w:sz w:val="36"/>
          <w:szCs w:val="36"/>
        </w:rPr>
        <w:t>2019年度部门决算情况说明</w:t>
      </w:r>
    </w:p>
    <w:p>
      <w:pPr>
        <w:pStyle w:val="11"/>
        <w:jc w:val="both"/>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rPr>
        <w:t>2019年度</w:t>
      </w:r>
      <w:r>
        <w:rPr>
          <w:rFonts w:hint="eastAsia" w:ascii="仿宋" w:hAnsi="仿宋" w:eastAsia="仿宋" w:cs="仿宋"/>
          <w:i w:val="0"/>
          <w:iCs w:val="0"/>
          <w:color w:val="auto"/>
          <w:sz w:val="32"/>
          <w:szCs w:val="32"/>
          <w:lang w:eastAsia="zh-CN"/>
        </w:rPr>
        <w:t>总</w:t>
      </w:r>
      <w:r>
        <w:rPr>
          <w:rFonts w:hint="eastAsia" w:ascii="仿宋" w:hAnsi="仿宋" w:eastAsia="仿宋" w:cs="仿宋"/>
          <w:i w:val="0"/>
          <w:iCs w:val="0"/>
          <w:color w:val="auto"/>
          <w:sz w:val="32"/>
          <w:szCs w:val="32"/>
        </w:rPr>
        <w:t>收</w:t>
      </w:r>
      <w:r>
        <w:rPr>
          <w:rFonts w:hint="eastAsia" w:ascii="仿宋" w:hAnsi="仿宋" w:eastAsia="仿宋" w:cs="仿宋"/>
          <w:i w:val="0"/>
          <w:iCs w:val="0"/>
          <w:color w:val="auto"/>
          <w:sz w:val="32"/>
          <w:szCs w:val="32"/>
          <w:lang w:eastAsia="zh-CN"/>
        </w:rPr>
        <w:t>入</w:t>
      </w:r>
      <w:r>
        <w:rPr>
          <w:rFonts w:hint="eastAsia" w:ascii="仿宋" w:hAnsi="仿宋" w:eastAsia="仿宋" w:cs="仿宋"/>
          <w:i w:val="0"/>
          <w:iCs w:val="0"/>
          <w:color w:val="auto"/>
          <w:sz w:val="32"/>
          <w:szCs w:val="32"/>
          <w:lang w:val="en-US" w:eastAsia="zh-CN"/>
        </w:rPr>
        <w:t>2868.40万元，总</w:t>
      </w:r>
      <w:r>
        <w:rPr>
          <w:rFonts w:hint="eastAsia" w:ascii="仿宋" w:hAnsi="仿宋" w:eastAsia="仿宋" w:cs="仿宋"/>
          <w:i w:val="0"/>
          <w:iCs w:val="0"/>
          <w:color w:val="auto"/>
          <w:sz w:val="32"/>
          <w:szCs w:val="32"/>
        </w:rPr>
        <w:t>支</w:t>
      </w:r>
      <w:r>
        <w:rPr>
          <w:rFonts w:hint="eastAsia" w:ascii="仿宋" w:hAnsi="仿宋" w:eastAsia="仿宋" w:cs="仿宋"/>
          <w:i w:val="0"/>
          <w:iCs w:val="0"/>
          <w:color w:val="auto"/>
          <w:sz w:val="32"/>
          <w:szCs w:val="32"/>
          <w:lang w:eastAsia="zh-CN"/>
        </w:rPr>
        <w:t>出</w:t>
      </w:r>
      <w:r>
        <w:rPr>
          <w:rFonts w:hint="eastAsia" w:ascii="仿宋" w:hAnsi="仿宋" w:eastAsia="仿宋" w:cs="仿宋"/>
          <w:i w:val="0"/>
          <w:iCs w:val="0"/>
          <w:color w:val="auto"/>
          <w:sz w:val="32"/>
          <w:szCs w:val="32"/>
          <w:lang w:val="en-US" w:eastAsia="zh-CN"/>
        </w:rPr>
        <w:t>2560.41</w:t>
      </w:r>
      <w:r>
        <w:rPr>
          <w:rFonts w:hint="eastAsia" w:ascii="仿宋" w:hAnsi="仿宋" w:eastAsia="仿宋" w:cs="仿宋"/>
          <w:i w:val="0"/>
          <w:iCs w:val="0"/>
          <w:color w:val="auto"/>
          <w:sz w:val="32"/>
          <w:szCs w:val="32"/>
        </w:rPr>
        <w:t>万元</w:t>
      </w:r>
      <w:r>
        <w:rPr>
          <w:rFonts w:hint="eastAsia" w:ascii="仿宋" w:hAnsi="仿宋" w:eastAsia="仿宋" w:cs="仿宋"/>
          <w:i w:val="0"/>
          <w:iCs w:val="0"/>
          <w:color w:val="auto"/>
          <w:sz w:val="32"/>
          <w:szCs w:val="32"/>
          <w:lang w:eastAsia="zh-CN"/>
        </w:rPr>
        <w:t>，结转和结余</w:t>
      </w:r>
      <w:r>
        <w:rPr>
          <w:rFonts w:hint="eastAsia" w:ascii="仿宋" w:hAnsi="仿宋" w:eastAsia="仿宋" w:cs="仿宋"/>
          <w:i w:val="0"/>
          <w:iCs w:val="0"/>
          <w:color w:val="auto"/>
          <w:sz w:val="32"/>
          <w:szCs w:val="32"/>
          <w:lang w:val="en-US" w:eastAsia="zh-CN"/>
        </w:rPr>
        <w:t>307.99万元，其中结转305.9万元，结余2.09万元</w:t>
      </w:r>
      <w:r>
        <w:rPr>
          <w:rFonts w:hint="eastAsia" w:ascii="仿宋" w:hAnsi="仿宋" w:eastAsia="仿宋" w:cs="仿宋"/>
          <w:i w:val="0"/>
          <w:iCs w:val="0"/>
          <w:color w:val="auto"/>
          <w:sz w:val="32"/>
          <w:szCs w:val="32"/>
        </w:rPr>
        <w:t>。与2018年相比，</w:t>
      </w:r>
      <w:r>
        <w:rPr>
          <w:rFonts w:hint="eastAsia" w:ascii="仿宋" w:hAnsi="仿宋" w:eastAsia="仿宋" w:cs="仿宋"/>
          <w:i w:val="0"/>
          <w:iCs w:val="0"/>
          <w:color w:val="auto"/>
          <w:sz w:val="32"/>
          <w:szCs w:val="32"/>
          <w:lang w:eastAsia="zh-CN"/>
        </w:rPr>
        <w:t>总收入</w:t>
      </w:r>
      <w:r>
        <w:rPr>
          <w:rFonts w:hint="eastAsia" w:ascii="仿宋" w:hAnsi="仿宋" w:eastAsia="仿宋" w:cs="仿宋"/>
          <w:i w:val="0"/>
          <w:iCs w:val="0"/>
          <w:color w:val="auto"/>
          <w:sz w:val="32"/>
          <w:szCs w:val="32"/>
        </w:rPr>
        <w:t>减少</w:t>
      </w:r>
      <w:r>
        <w:rPr>
          <w:rFonts w:hint="eastAsia" w:ascii="仿宋" w:hAnsi="仿宋" w:eastAsia="仿宋" w:cs="仿宋"/>
          <w:i w:val="0"/>
          <w:iCs w:val="0"/>
          <w:color w:val="auto"/>
          <w:sz w:val="32"/>
          <w:szCs w:val="32"/>
          <w:lang w:val="en-US" w:eastAsia="zh-CN"/>
        </w:rPr>
        <w:t>21.5</w:t>
      </w:r>
      <w:r>
        <w:rPr>
          <w:rFonts w:hint="eastAsia" w:ascii="仿宋" w:hAnsi="仿宋" w:eastAsia="仿宋" w:cs="仿宋"/>
          <w:i w:val="0"/>
          <w:iCs w:val="0"/>
          <w:color w:val="auto"/>
          <w:sz w:val="32"/>
          <w:szCs w:val="32"/>
        </w:rPr>
        <w:t>万元，减少</w:t>
      </w:r>
      <w:r>
        <w:rPr>
          <w:rFonts w:hint="eastAsia" w:ascii="仿宋" w:hAnsi="仿宋" w:eastAsia="仿宋" w:cs="仿宋"/>
          <w:i w:val="0"/>
          <w:iCs w:val="0"/>
          <w:color w:val="auto"/>
          <w:sz w:val="32"/>
          <w:szCs w:val="32"/>
          <w:lang w:val="en-US" w:eastAsia="zh-CN"/>
        </w:rPr>
        <w:t>0.75</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。总支出减少</w:t>
      </w:r>
      <w:r>
        <w:rPr>
          <w:rFonts w:hint="eastAsia" w:ascii="仿宋" w:hAnsi="仿宋" w:eastAsia="仿宋" w:cs="仿宋"/>
          <w:i w:val="0"/>
          <w:iCs w:val="0"/>
          <w:color w:val="auto"/>
          <w:sz w:val="32"/>
          <w:szCs w:val="32"/>
          <w:lang w:val="en-US" w:eastAsia="zh-CN"/>
        </w:rPr>
        <w:t>329.49万元，减少11.41%，</w:t>
      </w:r>
      <w:r>
        <w:rPr>
          <w:rFonts w:hint="eastAsia" w:ascii="仿宋" w:hAnsi="仿宋" w:eastAsia="仿宋" w:cs="仿宋"/>
          <w:i w:val="0"/>
          <w:iCs w:val="0"/>
          <w:color w:val="auto"/>
          <w:sz w:val="32"/>
          <w:szCs w:val="32"/>
        </w:rPr>
        <w:t>主要是因为</w:t>
      </w:r>
      <w:r>
        <w:rPr>
          <w:rFonts w:hint="eastAsia" w:ascii="仿宋" w:hAnsi="仿宋" w:eastAsia="仿宋" w:cs="仿宋"/>
          <w:i w:val="0"/>
          <w:iCs w:val="0"/>
          <w:color w:val="auto"/>
          <w:sz w:val="32"/>
          <w:szCs w:val="32"/>
          <w:lang w:eastAsia="zh-CN"/>
        </w:rPr>
        <w:t>我园积极贯彻落实中央，市委、区委关于厉行节约的要求，从严控制开支，项目支出减少。</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仿宋" w:hAnsi="仿宋" w:eastAsia="仿宋" w:cs="仿宋"/>
          <w:i w:val="0"/>
          <w:iCs w:val="0"/>
          <w:color w:val="auto"/>
          <w:sz w:val="32"/>
          <w:szCs w:val="32"/>
          <w:lang w:eastAsia="zh-CN"/>
        </w:rPr>
        <w:t>二、收</w:t>
      </w:r>
      <w:r>
        <w:rPr>
          <w:rFonts w:hint="default" w:ascii="Times New Roman" w:hAnsi="Times New Roman" w:eastAsia="黑体" w:cs="Times New Roman"/>
          <w:b w:val="0"/>
          <w:bCs/>
          <w:i w:val="0"/>
          <w:iCs w:val="0"/>
          <w:color w:val="auto"/>
          <w:sz w:val="32"/>
          <w:szCs w:val="32"/>
        </w:rPr>
        <w:t>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本年收入合计</w:t>
      </w:r>
      <w:r>
        <w:rPr>
          <w:rFonts w:hint="eastAsia" w:ascii="仿宋" w:hAnsi="仿宋" w:eastAsia="仿宋" w:cs="仿宋"/>
          <w:i w:val="0"/>
          <w:iCs w:val="0"/>
          <w:color w:val="auto"/>
          <w:sz w:val="32"/>
          <w:szCs w:val="32"/>
          <w:lang w:val="en-US" w:eastAsia="zh-CN"/>
        </w:rPr>
        <w:t>2868.40</w:t>
      </w:r>
      <w:r>
        <w:rPr>
          <w:rFonts w:hint="eastAsia" w:ascii="仿宋" w:hAnsi="仿宋" w:eastAsia="仿宋" w:cs="仿宋"/>
          <w:i w:val="0"/>
          <w:iCs w:val="0"/>
          <w:color w:val="auto"/>
          <w:sz w:val="32"/>
          <w:szCs w:val="32"/>
        </w:rPr>
        <w:t>万元，其中：财政拨款收入</w:t>
      </w:r>
      <w:r>
        <w:rPr>
          <w:rFonts w:hint="eastAsia" w:ascii="仿宋" w:hAnsi="仿宋" w:eastAsia="仿宋" w:cs="仿宋"/>
          <w:i w:val="0"/>
          <w:iCs w:val="0"/>
          <w:color w:val="auto"/>
          <w:sz w:val="32"/>
          <w:szCs w:val="32"/>
          <w:lang w:val="en-US" w:eastAsia="zh-CN"/>
        </w:rPr>
        <w:t>2868.40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%；上级补助收入</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%；事业收入</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%；经营收入</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%；附属单位上缴收入</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%；其他收入</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本年支出合计</w:t>
      </w:r>
      <w:r>
        <w:rPr>
          <w:rFonts w:hint="eastAsia" w:ascii="仿宋" w:hAnsi="仿宋" w:eastAsia="仿宋" w:cs="仿宋"/>
          <w:i w:val="0"/>
          <w:iCs w:val="0"/>
          <w:color w:val="auto"/>
          <w:sz w:val="32"/>
          <w:szCs w:val="32"/>
          <w:lang w:val="en-US" w:eastAsia="zh-CN"/>
        </w:rPr>
        <w:t>2560.41</w:t>
      </w:r>
      <w:r>
        <w:rPr>
          <w:rFonts w:hint="eastAsia" w:ascii="仿宋" w:hAnsi="仿宋" w:eastAsia="仿宋" w:cs="仿宋"/>
          <w:i w:val="0"/>
          <w:iCs w:val="0"/>
          <w:color w:val="auto"/>
          <w:sz w:val="32"/>
          <w:szCs w:val="32"/>
        </w:rPr>
        <w:t>万元，其中：基本支出</w:t>
      </w:r>
      <w:r>
        <w:rPr>
          <w:rFonts w:hint="eastAsia" w:ascii="仿宋" w:hAnsi="仿宋" w:eastAsia="仿宋" w:cs="仿宋"/>
          <w:i w:val="0"/>
          <w:iCs w:val="0"/>
          <w:color w:val="auto"/>
          <w:sz w:val="32"/>
          <w:szCs w:val="32"/>
          <w:lang w:val="en-US" w:eastAsia="zh-CN"/>
        </w:rPr>
        <w:t>2165.84</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84.59</w:t>
      </w:r>
      <w:r>
        <w:rPr>
          <w:rFonts w:hint="eastAsia" w:ascii="仿宋" w:hAnsi="仿宋" w:eastAsia="仿宋" w:cs="仿宋"/>
          <w:i w:val="0"/>
          <w:iCs w:val="0"/>
          <w:color w:val="auto"/>
          <w:sz w:val="32"/>
          <w:szCs w:val="32"/>
        </w:rPr>
        <w:t>%；项目支出</w:t>
      </w:r>
      <w:r>
        <w:rPr>
          <w:rFonts w:hint="eastAsia" w:ascii="仿宋" w:hAnsi="仿宋" w:eastAsia="仿宋" w:cs="仿宋"/>
          <w:i w:val="0"/>
          <w:iCs w:val="0"/>
          <w:color w:val="auto"/>
          <w:sz w:val="32"/>
          <w:szCs w:val="32"/>
          <w:lang w:val="en-US" w:eastAsia="zh-CN"/>
        </w:rPr>
        <w:t>394.57</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15.41</w:t>
      </w:r>
      <w:r>
        <w:rPr>
          <w:rFonts w:hint="eastAsia" w:ascii="仿宋" w:hAnsi="仿宋" w:eastAsia="仿宋" w:cs="仿宋"/>
          <w:i w:val="0"/>
          <w:iCs w:val="0"/>
          <w:color w:val="auto"/>
          <w:sz w:val="32"/>
          <w:szCs w:val="32"/>
        </w:rPr>
        <w:t>%；上缴上级支出</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%；经营支出</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%；对附属单位补助支出</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rPr>
        <w:t>2019年度财政拨款收</w:t>
      </w:r>
      <w:r>
        <w:rPr>
          <w:rFonts w:hint="eastAsia" w:ascii="仿宋" w:hAnsi="仿宋" w:eastAsia="仿宋" w:cs="仿宋"/>
          <w:i w:val="0"/>
          <w:iCs w:val="0"/>
          <w:color w:val="auto"/>
          <w:sz w:val="32"/>
          <w:szCs w:val="32"/>
          <w:lang w:eastAsia="zh-CN"/>
        </w:rPr>
        <w:t>入总计</w:t>
      </w:r>
      <w:r>
        <w:rPr>
          <w:rFonts w:hint="eastAsia" w:ascii="仿宋" w:hAnsi="仿宋" w:eastAsia="仿宋" w:cs="仿宋"/>
          <w:i w:val="0"/>
          <w:iCs w:val="0"/>
          <w:color w:val="auto"/>
          <w:sz w:val="32"/>
          <w:szCs w:val="32"/>
          <w:lang w:val="en-US" w:eastAsia="zh-CN"/>
        </w:rPr>
        <w:t>2868.40万元</w:t>
      </w:r>
      <w:r>
        <w:rPr>
          <w:rFonts w:hint="eastAsia" w:ascii="仿宋" w:hAnsi="仿宋" w:eastAsia="仿宋" w:cs="仿宋"/>
          <w:i w:val="0"/>
          <w:iCs w:val="0"/>
          <w:color w:val="auto"/>
          <w:sz w:val="32"/>
          <w:szCs w:val="32"/>
        </w:rPr>
        <w:t>、支</w:t>
      </w:r>
      <w:r>
        <w:rPr>
          <w:rFonts w:hint="eastAsia" w:ascii="仿宋" w:hAnsi="仿宋" w:eastAsia="仿宋" w:cs="仿宋"/>
          <w:i w:val="0"/>
          <w:iCs w:val="0"/>
          <w:color w:val="auto"/>
          <w:sz w:val="32"/>
          <w:szCs w:val="32"/>
          <w:lang w:eastAsia="zh-CN"/>
        </w:rPr>
        <w:t>出</w:t>
      </w:r>
      <w:r>
        <w:rPr>
          <w:rFonts w:hint="eastAsia" w:ascii="仿宋" w:hAnsi="仿宋" w:eastAsia="仿宋" w:cs="仿宋"/>
          <w:i w:val="0"/>
          <w:iCs w:val="0"/>
          <w:color w:val="auto"/>
          <w:sz w:val="32"/>
          <w:szCs w:val="32"/>
        </w:rPr>
        <w:t>总</w:t>
      </w:r>
      <w:r>
        <w:rPr>
          <w:rFonts w:hint="eastAsia" w:ascii="仿宋" w:hAnsi="仿宋" w:eastAsia="仿宋" w:cs="仿宋"/>
          <w:i w:val="0"/>
          <w:iCs w:val="0"/>
          <w:color w:val="auto"/>
          <w:sz w:val="32"/>
          <w:szCs w:val="32"/>
          <w:lang w:eastAsia="zh-CN"/>
        </w:rPr>
        <w:t>计</w:t>
      </w:r>
      <w:r>
        <w:rPr>
          <w:rFonts w:hint="eastAsia" w:ascii="仿宋" w:hAnsi="仿宋" w:eastAsia="仿宋" w:cs="仿宋"/>
          <w:i w:val="0"/>
          <w:iCs w:val="0"/>
          <w:color w:val="auto"/>
          <w:sz w:val="32"/>
          <w:szCs w:val="32"/>
          <w:lang w:val="en-US" w:eastAsia="zh-CN"/>
        </w:rPr>
        <w:t>2560.41</w:t>
      </w:r>
      <w:r>
        <w:rPr>
          <w:rFonts w:hint="eastAsia" w:ascii="仿宋" w:hAnsi="仿宋" w:eastAsia="仿宋" w:cs="仿宋"/>
          <w:i w:val="0"/>
          <w:iCs w:val="0"/>
          <w:color w:val="auto"/>
          <w:sz w:val="32"/>
          <w:szCs w:val="32"/>
        </w:rPr>
        <w:t>万元，与2018年相比，</w:t>
      </w:r>
      <w:r>
        <w:rPr>
          <w:rFonts w:hint="eastAsia" w:ascii="仿宋" w:hAnsi="仿宋" w:eastAsia="仿宋" w:cs="仿宋"/>
          <w:i w:val="0"/>
          <w:iCs w:val="0"/>
          <w:color w:val="auto"/>
          <w:sz w:val="32"/>
          <w:szCs w:val="32"/>
          <w:lang w:eastAsia="zh-CN"/>
        </w:rPr>
        <w:t>总收入</w:t>
      </w:r>
      <w:r>
        <w:rPr>
          <w:rFonts w:hint="eastAsia" w:ascii="仿宋" w:hAnsi="仿宋" w:eastAsia="仿宋" w:cs="仿宋"/>
          <w:i w:val="0"/>
          <w:iCs w:val="0"/>
          <w:color w:val="auto"/>
          <w:sz w:val="32"/>
          <w:szCs w:val="32"/>
        </w:rPr>
        <w:t>减少</w:t>
      </w:r>
      <w:r>
        <w:rPr>
          <w:rFonts w:hint="eastAsia" w:ascii="仿宋" w:hAnsi="仿宋" w:eastAsia="仿宋" w:cs="仿宋"/>
          <w:i w:val="0"/>
          <w:iCs w:val="0"/>
          <w:color w:val="auto"/>
          <w:sz w:val="32"/>
          <w:szCs w:val="32"/>
          <w:lang w:val="en-US" w:eastAsia="zh-CN"/>
        </w:rPr>
        <w:t>21.5</w:t>
      </w:r>
      <w:r>
        <w:rPr>
          <w:rFonts w:hint="eastAsia" w:ascii="仿宋" w:hAnsi="仿宋" w:eastAsia="仿宋" w:cs="仿宋"/>
          <w:i w:val="0"/>
          <w:iCs w:val="0"/>
          <w:color w:val="auto"/>
          <w:sz w:val="32"/>
          <w:szCs w:val="32"/>
        </w:rPr>
        <w:t>万元，减少</w:t>
      </w:r>
      <w:r>
        <w:rPr>
          <w:rFonts w:hint="eastAsia" w:ascii="仿宋" w:hAnsi="仿宋" w:eastAsia="仿宋" w:cs="仿宋"/>
          <w:i w:val="0"/>
          <w:iCs w:val="0"/>
          <w:color w:val="auto"/>
          <w:sz w:val="32"/>
          <w:szCs w:val="32"/>
          <w:lang w:val="en-US" w:eastAsia="zh-CN"/>
        </w:rPr>
        <w:t>0.75</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。总支出减少</w:t>
      </w:r>
      <w:r>
        <w:rPr>
          <w:rFonts w:hint="eastAsia" w:ascii="仿宋" w:hAnsi="仿宋" w:eastAsia="仿宋" w:cs="仿宋"/>
          <w:i w:val="0"/>
          <w:iCs w:val="0"/>
          <w:color w:val="auto"/>
          <w:sz w:val="32"/>
          <w:szCs w:val="32"/>
          <w:lang w:val="en-US" w:eastAsia="zh-CN"/>
        </w:rPr>
        <w:t>329.49万元，减少11.41%，</w:t>
      </w:r>
      <w:r>
        <w:rPr>
          <w:rFonts w:hint="eastAsia" w:ascii="仿宋" w:hAnsi="仿宋" w:eastAsia="仿宋" w:cs="仿宋"/>
          <w:i w:val="0"/>
          <w:iCs w:val="0"/>
          <w:color w:val="auto"/>
          <w:sz w:val="32"/>
          <w:szCs w:val="32"/>
          <w:highlight w:val="none"/>
        </w:rPr>
        <w:t>主要是因为</w:t>
      </w:r>
      <w:r>
        <w:rPr>
          <w:rFonts w:hint="eastAsia" w:ascii="仿宋" w:hAnsi="仿宋" w:eastAsia="仿宋" w:cs="仿宋"/>
          <w:i w:val="0"/>
          <w:iCs w:val="0"/>
          <w:color w:val="auto"/>
          <w:sz w:val="32"/>
          <w:szCs w:val="32"/>
          <w:lang w:eastAsia="zh-CN"/>
        </w:rPr>
        <w:t>我园积极贯彻落实中央，市委、区委关于厉行节约的要求，从严控制开支，项目支出减少。</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highlight w:val="yellow"/>
        </w:rPr>
      </w:pPr>
      <w:r>
        <w:rPr>
          <w:rFonts w:hint="eastAsia" w:ascii="仿宋" w:hAnsi="仿宋" w:eastAsia="仿宋" w:cs="仿宋"/>
          <w:i w:val="0"/>
          <w:iCs w:val="0"/>
          <w:color w:val="auto"/>
          <w:sz w:val="32"/>
          <w:szCs w:val="32"/>
        </w:rPr>
        <w:t>2019年度财政拨款支出</w:t>
      </w:r>
      <w:r>
        <w:rPr>
          <w:rFonts w:hint="eastAsia" w:ascii="仿宋" w:hAnsi="仿宋" w:eastAsia="仿宋" w:cs="仿宋"/>
          <w:i w:val="0"/>
          <w:iCs w:val="0"/>
          <w:color w:val="auto"/>
          <w:sz w:val="32"/>
          <w:szCs w:val="32"/>
          <w:lang w:val="en-US" w:eastAsia="zh-CN"/>
        </w:rPr>
        <w:t>2560.41</w:t>
      </w:r>
      <w:r>
        <w:rPr>
          <w:rFonts w:hint="eastAsia" w:ascii="仿宋" w:hAnsi="仿宋" w:eastAsia="仿宋" w:cs="仿宋"/>
          <w:i w:val="0"/>
          <w:iCs w:val="0"/>
          <w:color w:val="auto"/>
          <w:sz w:val="32"/>
          <w:szCs w:val="32"/>
        </w:rPr>
        <w:t>万元，占本年支出合计的</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%，与2018年相比，财政拨款支出减少</w:t>
      </w:r>
      <w:r>
        <w:rPr>
          <w:rFonts w:hint="eastAsia" w:ascii="仿宋" w:hAnsi="仿宋" w:eastAsia="仿宋" w:cs="仿宋"/>
          <w:i w:val="0"/>
          <w:iCs w:val="0"/>
          <w:color w:val="auto"/>
          <w:sz w:val="32"/>
          <w:szCs w:val="32"/>
          <w:lang w:val="en-US" w:eastAsia="zh-CN"/>
        </w:rPr>
        <w:t>329.49</w:t>
      </w:r>
      <w:r>
        <w:rPr>
          <w:rFonts w:hint="eastAsia" w:ascii="仿宋" w:hAnsi="仿宋" w:eastAsia="仿宋" w:cs="仿宋"/>
          <w:i w:val="0"/>
          <w:iCs w:val="0"/>
          <w:color w:val="auto"/>
          <w:sz w:val="32"/>
          <w:szCs w:val="32"/>
        </w:rPr>
        <w:t>万元，减少</w:t>
      </w:r>
      <w:r>
        <w:rPr>
          <w:rFonts w:hint="eastAsia" w:ascii="仿宋" w:hAnsi="仿宋" w:eastAsia="仿宋" w:cs="仿宋"/>
          <w:i w:val="0"/>
          <w:iCs w:val="0"/>
          <w:color w:val="auto"/>
          <w:sz w:val="32"/>
          <w:szCs w:val="32"/>
          <w:lang w:val="en-US" w:eastAsia="zh-CN"/>
        </w:rPr>
        <w:t>11.41</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highlight w:val="none"/>
        </w:rPr>
        <w:t>主要是因为</w:t>
      </w:r>
      <w:r>
        <w:rPr>
          <w:rFonts w:hint="eastAsia" w:ascii="仿宋" w:hAnsi="仿宋" w:eastAsia="仿宋" w:cs="仿宋"/>
          <w:i w:val="0"/>
          <w:iCs w:val="0"/>
          <w:color w:val="auto"/>
          <w:sz w:val="32"/>
          <w:szCs w:val="32"/>
          <w:lang w:eastAsia="zh-CN"/>
        </w:rPr>
        <w:t>我园</w:t>
      </w:r>
      <w:r>
        <w:rPr>
          <w:rFonts w:hint="eastAsia" w:ascii="仿宋" w:hAnsi="仿宋" w:eastAsia="仿宋" w:cs="仿宋"/>
          <w:i w:val="0"/>
          <w:iCs w:val="0"/>
          <w:color w:val="auto"/>
          <w:sz w:val="32"/>
          <w:szCs w:val="32"/>
          <w:highlight w:val="none"/>
          <w:lang w:val="en-US" w:eastAsia="zh-CN"/>
        </w:rPr>
        <w:t>项目支出总量减少。</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val="en-US"/>
        </w:rPr>
      </w:pPr>
      <w:r>
        <w:rPr>
          <w:rFonts w:hint="eastAsia" w:ascii="仿宋" w:hAnsi="仿宋" w:eastAsia="仿宋" w:cs="仿宋"/>
          <w:i w:val="0"/>
          <w:iCs w:val="0"/>
          <w:color w:val="auto"/>
          <w:sz w:val="32"/>
          <w:szCs w:val="32"/>
        </w:rPr>
        <w:t>2019年度财政拨款支出</w:t>
      </w:r>
      <w:r>
        <w:rPr>
          <w:rFonts w:hint="eastAsia" w:ascii="仿宋" w:hAnsi="仿宋" w:eastAsia="仿宋" w:cs="仿宋"/>
          <w:i w:val="0"/>
          <w:iCs w:val="0"/>
          <w:color w:val="auto"/>
          <w:sz w:val="32"/>
          <w:szCs w:val="32"/>
          <w:lang w:val="en-US" w:eastAsia="zh-CN"/>
        </w:rPr>
        <w:t>2560.41</w:t>
      </w:r>
      <w:r>
        <w:rPr>
          <w:rFonts w:hint="eastAsia" w:ascii="仿宋" w:hAnsi="仿宋" w:eastAsia="仿宋" w:cs="仿宋"/>
          <w:i w:val="0"/>
          <w:iCs w:val="0"/>
          <w:color w:val="auto"/>
          <w:sz w:val="32"/>
          <w:szCs w:val="32"/>
        </w:rPr>
        <w:t>万元，主要用于以下方面：</w:t>
      </w:r>
      <w:r>
        <w:rPr>
          <w:rFonts w:hint="eastAsia" w:ascii="仿宋" w:hAnsi="仿宋" w:eastAsia="仿宋" w:cs="仿宋"/>
          <w:i w:val="0"/>
          <w:iCs w:val="0"/>
          <w:color w:val="auto"/>
          <w:sz w:val="32"/>
          <w:szCs w:val="32"/>
          <w:lang w:eastAsia="zh-CN"/>
        </w:rPr>
        <w:t>城乡社区支出</w:t>
      </w:r>
      <w:r>
        <w:rPr>
          <w:rFonts w:hint="eastAsia" w:ascii="仿宋" w:hAnsi="仿宋" w:eastAsia="仿宋" w:cs="仿宋"/>
          <w:i w:val="0"/>
          <w:iCs w:val="0"/>
          <w:color w:val="auto"/>
          <w:sz w:val="32"/>
          <w:szCs w:val="32"/>
          <w:lang w:val="en-US" w:eastAsia="zh-CN"/>
        </w:rPr>
        <w:t>2142.61</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83.68</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社会保障和就业</w:t>
      </w:r>
      <w:r>
        <w:rPr>
          <w:rFonts w:hint="eastAsia" w:ascii="仿宋" w:hAnsi="仿宋" w:eastAsia="仿宋" w:cs="仿宋"/>
          <w:i w:val="0"/>
          <w:iCs w:val="0"/>
          <w:color w:val="auto"/>
          <w:sz w:val="32"/>
          <w:szCs w:val="32"/>
        </w:rPr>
        <w:t>支出</w:t>
      </w:r>
      <w:r>
        <w:rPr>
          <w:rFonts w:hint="eastAsia" w:ascii="仿宋" w:hAnsi="仿宋" w:eastAsia="仿宋" w:cs="仿宋"/>
          <w:i w:val="0"/>
          <w:iCs w:val="0"/>
          <w:color w:val="auto"/>
          <w:sz w:val="32"/>
          <w:szCs w:val="32"/>
          <w:lang w:val="en-US" w:eastAsia="zh-CN"/>
        </w:rPr>
        <w:t>302.26</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11.81</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；住房保障支出</w:t>
      </w:r>
      <w:r>
        <w:rPr>
          <w:rFonts w:hint="eastAsia" w:ascii="仿宋" w:hAnsi="仿宋" w:eastAsia="仿宋" w:cs="仿宋"/>
          <w:i w:val="0"/>
          <w:iCs w:val="0"/>
          <w:color w:val="auto"/>
          <w:sz w:val="32"/>
          <w:szCs w:val="32"/>
          <w:lang w:val="en-US" w:eastAsia="zh-CN"/>
        </w:rPr>
        <w:t>115.55万元，占4.51%。</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2019年度财政拨款支出年初预算数为</w:t>
      </w:r>
      <w:r>
        <w:rPr>
          <w:rFonts w:hint="eastAsia" w:ascii="仿宋" w:hAnsi="仿宋" w:eastAsia="仿宋" w:cs="仿宋"/>
          <w:i w:val="0"/>
          <w:iCs w:val="0"/>
          <w:color w:val="auto"/>
          <w:sz w:val="32"/>
          <w:szCs w:val="32"/>
          <w:lang w:val="en-US" w:eastAsia="zh-CN"/>
        </w:rPr>
        <w:t>2439.27</w:t>
      </w:r>
      <w:r>
        <w:rPr>
          <w:rFonts w:hint="eastAsia" w:ascii="仿宋" w:hAnsi="仿宋" w:eastAsia="仿宋" w:cs="仿宋"/>
          <w:i w:val="0"/>
          <w:iCs w:val="0"/>
          <w:color w:val="auto"/>
          <w:sz w:val="32"/>
          <w:szCs w:val="32"/>
        </w:rPr>
        <w:t>万元，支出决算数为</w:t>
      </w:r>
      <w:r>
        <w:rPr>
          <w:rFonts w:hint="eastAsia" w:ascii="仿宋" w:hAnsi="仿宋" w:eastAsia="仿宋" w:cs="仿宋"/>
          <w:i w:val="0"/>
          <w:iCs w:val="0"/>
          <w:color w:val="auto"/>
          <w:sz w:val="32"/>
          <w:szCs w:val="32"/>
          <w:lang w:val="en-US" w:eastAsia="zh-CN"/>
        </w:rPr>
        <w:t>2560.41</w:t>
      </w:r>
      <w:r>
        <w:rPr>
          <w:rFonts w:hint="eastAsia" w:ascii="仿宋" w:hAnsi="仿宋" w:eastAsia="仿宋" w:cs="仿宋"/>
          <w:i w:val="0"/>
          <w:iCs w:val="0"/>
          <w:color w:val="auto"/>
          <w:sz w:val="32"/>
          <w:szCs w:val="32"/>
        </w:rPr>
        <w:t>万元，完成年初预算的</w:t>
      </w:r>
      <w:r>
        <w:rPr>
          <w:rFonts w:hint="eastAsia" w:ascii="仿宋" w:hAnsi="仿宋" w:eastAsia="仿宋" w:cs="仿宋"/>
          <w:i w:val="0"/>
          <w:iCs w:val="0"/>
          <w:color w:val="auto"/>
          <w:sz w:val="32"/>
          <w:szCs w:val="32"/>
          <w:lang w:val="en-US" w:eastAsia="zh-CN"/>
        </w:rPr>
        <w:t>104.96</w:t>
      </w:r>
      <w:r>
        <w:rPr>
          <w:rFonts w:hint="eastAsia" w:ascii="仿宋" w:hAnsi="仿宋" w:eastAsia="仿宋" w:cs="仿宋"/>
          <w:i w:val="0"/>
          <w:iCs w:val="0"/>
          <w:color w:val="auto"/>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highlight w:val="none"/>
          <w:lang w:eastAsia="zh-CN"/>
        </w:rPr>
        <w:t>城乡社区支出（类）城乡社区环境卫生城乡社区环境卫生支出（款）</w:t>
      </w:r>
      <w:r>
        <w:rPr>
          <w:rFonts w:hint="eastAsia" w:ascii="仿宋" w:hAnsi="仿宋" w:eastAsia="仿宋" w:cs="仿宋"/>
          <w:i w:val="0"/>
          <w:iCs w:val="0"/>
          <w:color w:val="auto"/>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lang w:eastAsia="zh-CN"/>
        </w:rPr>
        <w:t>）园林维护费</w:t>
      </w:r>
      <w:r>
        <w:rPr>
          <w:rFonts w:hint="eastAsia" w:ascii="仿宋" w:hAnsi="仿宋" w:eastAsia="仿宋" w:cs="仿宋"/>
          <w:i w:val="0"/>
          <w:iCs w:val="0"/>
          <w:color w:val="auto"/>
          <w:sz w:val="32"/>
          <w:szCs w:val="32"/>
        </w:rPr>
        <w:t>年初预算为</w:t>
      </w:r>
      <w:r>
        <w:rPr>
          <w:rFonts w:hint="eastAsia" w:ascii="仿宋" w:hAnsi="仿宋" w:eastAsia="仿宋" w:cs="仿宋"/>
          <w:i w:val="0"/>
          <w:iCs w:val="0"/>
          <w:color w:val="auto"/>
          <w:sz w:val="32"/>
          <w:szCs w:val="32"/>
          <w:lang w:val="en-US" w:eastAsia="zh-CN"/>
        </w:rPr>
        <w:t>300</w:t>
      </w:r>
      <w:r>
        <w:rPr>
          <w:rFonts w:hint="eastAsia" w:ascii="仿宋" w:hAnsi="仿宋" w:eastAsia="仿宋" w:cs="仿宋"/>
          <w:i w:val="0"/>
          <w:iCs w:val="0"/>
          <w:color w:val="auto"/>
          <w:sz w:val="32"/>
          <w:szCs w:val="32"/>
        </w:rPr>
        <w:t>万元，支出决算为</w:t>
      </w:r>
      <w:r>
        <w:rPr>
          <w:rFonts w:hint="eastAsia" w:ascii="仿宋" w:hAnsi="仿宋" w:eastAsia="仿宋" w:cs="仿宋"/>
          <w:i w:val="0"/>
          <w:iCs w:val="0"/>
          <w:color w:val="auto"/>
          <w:sz w:val="32"/>
          <w:szCs w:val="32"/>
          <w:lang w:val="en-US" w:eastAsia="zh-CN"/>
        </w:rPr>
        <w:t>300</w:t>
      </w:r>
      <w:r>
        <w:rPr>
          <w:rFonts w:hint="eastAsia" w:ascii="仿宋" w:hAnsi="仿宋" w:eastAsia="仿宋" w:cs="仿宋"/>
          <w:i w:val="0"/>
          <w:iCs w:val="0"/>
          <w:color w:val="auto"/>
          <w:sz w:val="32"/>
          <w:szCs w:val="32"/>
        </w:rPr>
        <w:t>万元，完成年初预算的</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%，决算数</w:t>
      </w:r>
      <w:r>
        <w:rPr>
          <w:rFonts w:hint="eastAsia" w:ascii="仿宋" w:hAnsi="仿宋" w:eastAsia="仿宋" w:cs="仿宋"/>
          <w:i w:val="0"/>
          <w:iCs w:val="0"/>
          <w:color w:val="auto"/>
          <w:sz w:val="32"/>
          <w:szCs w:val="32"/>
          <w:lang w:eastAsia="zh-CN"/>
        </w:rPr>
        <w:t>与</w:t>
      </w:r>
      <w:r>
        <w:rPr>
          <w:rFonts w:hint="eastAsia" w:ascii="仿宋" w:hAnsi="仿宋" w:eastAsia="仿宋" w:cs="仿宋"/>
          <w:i w:val="0"/>
          <w:iCs w:val="0"/>
          <w:color w:val="auto"/>
          <w:sz w:val="32"/>
          <w:szCs w:val="32"/>
        </w:rPr>
        <w:t>年初预算数</w:t>
      </w:r>
      <w:r>
        <w:rPr>
          <w:rFonts w:hint="eastAsia" w:ascii="仿宋" w:hAnsi="仿宋" w:eastAsia="仿宋" w:cs="仿宋"/>
          <w:i w:val="0"/>
          <w:iCs w:val="0"/>
          <w:color w:val="auto"/>
          <w:sz w:val="32"/>
          <w:szCs w:val="32"/>
          <w:lang w:eastAsia="zh-CN"/>
        </w:rPr>
        <w:t>持平。</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2</w:t>
      </w:r>
      <w:r>
        <w:rPr>
          <w:rFonts w:hint="eastAsia" w:ascii="仿宋" w:hAnsi="仿宋" w:eastAsia="仿宋" w:cs="仿宋"/>
          <w:i w:val="0"/>
          <w:iCs w:val="0"/>
          <w:color w:val="auto"/>
          <w:sz w:val="32"/>
          <w:szCs w:val="32"/>
          <w:lang w:eastAsia="zh-CN"/>
        </w:rPr>
        <w:t>）熊福利信访问题化解资金</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0</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31.34</w:t>
      </w:r>
      <w:r>
        <w:rPr>
          <w:rFonts w:hint="eastAsia" w:ascii="仿宋" w:hAnsi="仿宋" w:eastAsia="仿宋" w:cs="仿宋"/>
          <w:i w:val="0"/>
          <w:iCs w:val="0"/>
          <w:color w:val="auto"/>
          <w:sz w:val="32"/>
          <w:szCs w:val="32"/>
        </w:rPr>
        <w:t>万元，决算数大于年初预算数的主要原因是：</w:t>
      </w:r>
      <w:r>
        <w:rPr>
          <w:rFonts w:hint="eastAsia" w:ascii="仿宋" w:hAnsi="仿宋" w:eastAsia="仿宋" w:cs="仿宋"/>
          <w:i w:val="0"/>
          <w:iCs w:val="0"/>
          <w:color w:val="auto"/>
          <w:sz w:val="32"/>
          <w:szCs w:val="32"/>
          <w:lang w:eastAsia="zh-CN"/>
        </w:rPr>
        <w:t>此专项是在年中依据区信访工作联席会议办公室相关会议备忘追加下达。</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3</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highlight w:val="none"/>
          <w:lang w:val="en-US" w:eastAsia="zh-CN"/>
        </w:rPr>
        <w:t>杜鹃花节门票返还款</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0</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58.24</w:t>
      </w:r>
      <w:r>
        <w:rPr>
          <w:rFonts w:hint="eastAsia" w:ascii="仿宋" w:hAnsi="仿宋" w:eastAsia="仿宋" w:cs="仿宋"/>
          <w:i w:val="0"/>
          <w:iCs w:val="0"/>
          <w:color w:val="auto"/>
          <w:sz w:val="32"/>
          <w:szCs w:val="32"/>
        </w:rPr>
        <w:t>万元，决算数大于年初预算数的主要原因是：</w:t>
      </w:r>
      <w:r>
        <w:rPr>
          <w:rFonts w:hint="eastAsia" w:ascii="仿宋" w:hAnsi="仿宋" w:eastAsia="仿宋" w:cs="仿宋"/>
          <w:i w:val="0"/>
          <w:iCs w:val="0"/>
          <w:color w:val="auto"/>
          <w:sz w:val="32"/>
          <w:szCs w:val="32"/>
          <w:lang w:eastAsia="zh-CN"/>
        </w:rPr>
        <w:t>此专项是在年中依据相关政策追加下达，属于我园自主经营收入返还。</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highlight w:val="yellow"/>
          <w:lang w:eastAsia="zh-CN"/>
        </w:rPr>
      </w:pP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lang w:val="en-US" w:eastAsia="zh-CN"/>
        </w:rPr>
        <w:t>4</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highlight w:val="none"/>
          <w:lang w:eastAsia="zh-CN"/>
        </w:rPr>
        <w:t>城乡社区支出城乡社区环境卫生支出基本支出</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1825.40</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1748.04</w:t>
      </w:r>
      <w:r>
        <w:rPr>
          <w:rFonts w:hint="eastAsia" w:ascii="仿宋" w:hAnsi="仿宋" w:eastAsia="仿宋" w:cs="仿宋"/>
          <w:i w:val="0"/>
          <w:iCs w:val="0"/>
          <w:color w:val="auto"/>
          <w:sz w:val="32"/>
          <w:szCs w:val="32"/>
        </w:rPr>
        <w:t>万元，完成年初预算的</w:t>
      </w:r>
      <w:r>
        <w:rPr>
          <w:rFonts w:hint="eastAsia" w:ascii="仿宋" w:hAnsi="仿宋" w:eastAsia="仿宋" w:cs="仿宋"/>
          <w:i w:val="0"/>
          <w:iCs w:val="0"/>
          <w:color w:val="auto"/>
          <w:sz w:val="32"/>
          <w:szCs w:val="32"/>
          <w:lang w:val="en-US" w:eastAsia="zh-CN"/>
        </w:rPr>
        <w:t>95.76</w:t>
      </w:r>
      <w:r>
        <w:rPr>
          <w:rFonts w:hint="eastAsia" w:ascii="仿宋" w:hAnsi="仿宋" w:eastAsia="仿宋" w:cs="仿宋"/>
          <w:i w:val="0"/>
          <w:iCs w:val="0"/>
          <w:color w:val="auto"/>
          <w:sz w:val="32"/>
          <w:szCs w:val="32"/>
        </w:rPr>
        <w:t>%，决算数</w:t>
      </w:r>
      <w:r>
        <w:rPr>
          <w:rFonts w:hint="eastAsia" w:ascii="仿宋" w:hAnsi="仿宋" w:eastAsia="仿宋" w:cs="仿宋"/>
          <w:i w:val="0"/>
          <w:iCs w:val="0"/>
          <w:color w:val="auto"/>
          <w:sz w:val="32"/>
          <w:szCs w:val="32"/>
          <w:lang w:eastAsia="zh-CN"/>
        </w:rPr>
        <w:t>小</w:t>
      </w:r>
      <w:r>
        <w:rPr>
          <w:rFonts w:hint="eastAsia" w:ascii="仿宋" w:hAnsi="仿宋" w:eastAsia="仿宋" w:cs="仿宋"/>
          <w:i w:val="0"/>
          <w:iCs w:val="0"/>
          <w:color w:val="auto"/>
          <w:sz w:val="32"/>
          <w:szCs w:val="32"/>
        </w:rPr>
        <w:t>于年初预算数的主要原因是：</w:t>
      </w:r>
      <w:r>
        <w:rPr>
          <w:rFonts w:hint="eastAsia" w:ascii="仿宋" w:hAnsi="仿宋" w:eastAsia="仿宋" w:cs="仿宋"/>
          <w:i w:val="0"/>
          <w:iCs w:val="0"/>
          <w:color w:val="auto"/>
          <w:sz w:val="32"/>
          <w:szCs w:val="32"/>
          <w:lang w:eastAsia="zh-CN"/>
        </w:rPr>
        <w:t>其中有</w:t>
      </w:r>
      <w:r>
        <w:rPr>
          <w:rFonts w:hint="eastAsia" w:ascii="仿宋" w:hAnsi="仿宋" w:eastAsia="仿宋" w:cs="仿宋"/>
          <w:i w:val="0"/>
          <w:iCs w:val="0"/>
          <w:color w:val="auto"/>
          <w:sz w:val="32"/>
          <w:szCs w:val="32"/>
          <w:lang w:val="en-US" w:eastAsia="zh-CN"/>
        </w:rPr>
        <w:t>103.94万元</w:t>
      </w:r>
      <w:r>
        <w:rPr>
          <w:rFonts w:hint="eastAsia" w:ascii="仿宋" w:hAnsi="仿宋" w:eastAsia="仿宋" w:cs="仿宋"/>
          <w:i w:val="0"/>
          <w:iCs w:val="0"/>
          <w:color w:val="auto"/>
          <w:sz w:val="32"/>
          <w:szCs w:val="32"/>
          <w:lang w:eastAsia="zh-CN"/>
        </w:rPr>
        <w:t>在年初下达指标时放在了行政事业单位机关事业单位基本养老保险缴费支出中</w:t>
      </w:r>
      <w:r>
        <w:rPr>
          <w:rFonts w:hint="eastAsia" w:ascii="仿宋" w:hAnsi="仿宋" w:eastAsia="仿宋" w:cs="仿宋"/>
          <w:i w:val="0"/>
          <w:iCs w:val="0"/>
          <w:color w:val="auto"/>
          <w:sz w:val="32"/>
          <w:szCs w:val="32"/>
          <w:lang w:val="en-US" w:eastAsia="zh-CN"/>
        </w:rPr>
        <w:t>;有1.34万元在年初</w:t>
      </w:r>
      <w:r>
        <w:rPr>
          <w:rFonts w:hint="eastAsia" w:ascii="仿宋" w:hAnsi="仿宋" w:eastAsia="仿宋" w:cs="仿宋"/>
          <w:i w:val="0"/>
          <w:iCs w:val="0"/>
          <w:color w:val="auto"/>
          <w:sz w:val="32"/>
          <w:szCs w:val="32"/>
          <w:lang w:eastAsia="zh-CN"/>
        </w:rPr>
        <w:t>下达指标时直接支付给了开福区工会委员会</w:t>
      </w:r>
      <w:r>
        <w:rPr>
          <w:rFonts w:hint="eastAsia" w:ascii="仿宋" w:hAnsi="仿宋" w:eastAsia="仿宋" w:cs="仿宋"/>
          <w:i w:val="0"/>
          <w:iCs w:val="0"/>
          <w:color w:val="auto"/>
          <w:sz w:val="32"/>
          <w:szCs w:val="32"/>
          <w:lang w:val="en-US" w:eastAsia="zh-CN"/>
        </w:rPr>
        <w:t>;在年中调整预算时依据政策追加了人员经费30万元;年底结余资金2.09万元</w:t>
      </w:r>
      <w:r>
        <w:rPr>
          <w:rFonts w:hint="eastAsia" w:ascii="仿宋" w:hAnsi="仿宋" w:eastAsia="仿宋" w:cs="仿宋"/>
          <w:i w:val="0"/>
          <w:iCs w:val="0"/>
          <w:color w:val="auto"/>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highlight w:val="none"/>
          <w:lang w:val="en-US" w:eastAsia="zh-CN"/>
        </w:rPr>
        <w:t>2</w:t>
      </w:r>
      <w:r>
        <w:rPr>
          <w:rFonts w:hint="eastAsia" w:ascii="仿宋" w:hAnsi="仿宋" w:eastAsia="仿宋" w:cs="仿宋"/>
          <w:i w:val="0"/>
          <w:iCs w:val="0"/>
          <w:color w:val="auto"/>
          <w:sz w:val="32"/>
          <w:szCs w:val="32"/>
          <w:highlight w:val="none"/>
        </w:rPr>
        <w:t>、</w:t>
      </w:r>
      <w:r>
        <w:rPr>
          <w:rFonts w:hint="eastAsia" w:ascii="仿宋" w:hAnsi="仿宋" w:eastAsia="仿宋" w:cs="仿宋"/>
          <w:i w:val="0"/>
          <w:iCs w:val="0"/>
          <w:color w:val="auto"/>
          <w:sz w:val="32"/>
          <w:szCs w:val="32"/>
          <w:highlight w:val="none"/>
          <w:lang w:eastAsia="zh-CN"/>
        </w:rPr>
        <w:t>城乡社区支出（类）城乡社区公共设施其他城乡社区公共设施支出（款）</w:t>
      </w:r>
      <w:r>
        <w:rPr>
          <w:rFonts w:hint="eastAsia" w:ascii="仿宋" w:hAnsi="仿宋" w:eastAsia="仿宋" w:cs="仿宋"/>
          <w:i w:val="0"/>
          <w:iCs w:val="0"/>
          <w:color w:val="auto"/>
          <w:sz w:val="32"/>
          <w:szCs w:val="32"/>
          <w:highlight w:val="none"/>
          <w:lang w:val="en-US" w:eastAsia="zh-CN"/>
        </w:rPr>
        <w:t>2018年下岗志愿兵和转业士官再就业岗位补助经费</w:t>
      </w:r>
      <w:r>
        <w:rPr>
          <w:rFonts w:hint="eastAsia" w:ascii="仿宋" w:hAnsi="仿宋" w:eastAsia="仿宋" w:cs="仿宋"/>
          <w:i w:val="0"/>
          <w:iCs w:val="0"/>
          <w:color w:val="auto"/>
          <w:sz w:val="32"/>
          <w:szCs w:val="32"/>
          <w:highlight w:val="none"/>
          <w:lang w:eastAsia="zh-CN"/>
        </w:rPr>
        <w:t>（项）</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0</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4.99</w:t>
      </w:r>
      <w:r>
        <w:rPr>
          <w:rFonts w:hint="eastAsia" w:ascii="仿宋" w:hAnsi="仿宋" w:eastAsia="仿宋" w:cs="仿宋"/>
          <w:i w:val="0"/>
          <w:iCs w:val="0"/>
          <w:color w:val="auto"/>
          <w:sz w:val="32"/>
          <w:szCs w:val="32"/>
        </w:rPr>
        <w:t>万元，完成年初预算的</w:t>
      </w:r>
      <w:r>
        <w:rPr>
          <w:rFonts w:hint="eastAsia" w:ascii="仿宋" w:hAnsi="仿宋" w:eastAsia="仿宋" w:cs="仿宋"/>
          <w:i w:val="0"/>
          <w:iCs w:val="0"/>
          <w:color w:val="auto"/>
          <w:sz w:val="32"/>
          <w:szCs w:val="32"/>
          <w:lang w:val="en-US" w:eastAsia="zh-CN"/>
        </w:rPr>
        <w:t>499</w:t>
      </w:r>
      <w:r>
        <w:rPr>
          <w:rFonts w:hint="eastAsia" w:ascii="仿宋" w:hAnsi="仿宋" w:eastAsia="仿宋" w:cs="仿宋"/>
          <w:i w:val="0"/>
          <w:iCs w:val="0"/>
          <w:color w:val="auto"/>
          <w:sz w:val="32"/>
          <w:szCs w:val="32"/>
        </w:rPr>
        <w:t>%，决算数大于年初预算数的主要原因是：</w:t>
      </w:r>
      <w:r>
        <w:rPr>
          <w:rFonts w:hint="eastAsia" w:ascii="仿宋" w:hAnsi="仿宋" w:eastAsia="仿宋" w:cs="仿宋"/>
          <w:i w:val="0"/>
          <w:iCs w:val="0"/>
          <w:color w:val="auto"/>
          <w:sz w:val="32"/>
          <w:szCs w:val="32"/>
          <w:lang w:eastAsia="zh-CN"/>
        </w:rPr>
        <w:t>此专项是在年中根据政策追加下达。</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3、住房保障支出（类）住房改革支出（款）住房公积金（项）</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115.55</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115.55</w:t>
      </w:r>
      <w:r>
        <w:rPr>
          <w:rFonts w:hint="eastAsia" w:ascii="仿宋" w:hAnsi="仿宋" w:eastAsia="仿宋" w:cs="仿宋"/>
          <w:i w:val="0"/>
          <w:iCs w:val="0"/>
          <w:color w:val="auto"/>
          <w:sz w:val="32"/>
          <w:szCs w:val="32"/>
        </w:rPr>
        <w:t>万元，完成年初预算的</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%，决算数</w:t>
      </w:r>
      <w:r>
        <w:rPr>
          <w:rFonts w:hint="eastAsia" w:ascii="仿宋" w:hAnsi="仿宋" w:eastAsia="仿宋" w:cs="仿宋"/>
          <w:i w:val="0"/>
          <w:iCs w:val="0"/>
          <w:color w:val="auto"/>
          <w:sz w:val="32"/>
          <w:szCs w:val="32"/>
          <w:lang w:eastAsia="zh-CN"/>
        </w:rPr>
        <w:t>与</w:t>
      </w:r>
      <w:r>
        <w:rPr>
          <w:rFonts w:hint="eastAsia" w:ascii="仿宋" w:hAnsi="仿宋" w:eastAsia="仿宋" w:cs="仿宋"/>
          <w:i w:val="0"/>
          <w:iCs w:val="0"/>
          <w:color w:val="auto"/>
          <w:sz w:val="32"/>
          <w:szCs w:val="32"/>
        </w:rPr>
        <w:t>年初预算数</w:t>
      </w:r>
      <w:r>
        <w:rPr>
          <w:rFonts w:hint="eastAsia" w:ascii="仿宋" w:hAnsi="仿宋" w:eastAsia="仿宋" w:cs="仿宋"/>
          <w:i w:val="0"/>
          <w:iCs w:val="0"/>
          <w:color w:val="auto"/>
          <w:sz w:val="32"/>
          <w:szCs w:val="32"/>
          <w:lang w:eastAsia="zh-CN"/>
        </w:rPr>
        <w:t>持平。</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4、社会保障和就业支出（类）行政事业单位离退休（款）事业单位离退休（项）</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198.32</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198.32</w:t>
      </w:r>
      <w:r>
        <w:rPr>
          <w:rFonts w:hint="eastAsia" w:ascii="仿宋" w:hAnsi="仿宋" w:eastAsia="仿宋" w:cs="仿宋"/>
          <w:i w:val="0"/>
          <w:iCs w:val="0"/>
          <w:color w:val="auto"/>
          <w:sz w:val="32"/>
          <w:szCs w:val="32"/>
        </w:rPr>
        <w:t>万元，完成年初预算的</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%，决算数</w:t>
      </w:r>
      <w:r>
        <w:rPr>
          <w:rFonts w:hint="eastAsia" w:ascii="仿宋" w:hAnsi="仿宋" w:eastAsia="仿宋" w:cs="仿宋"/>
          <w:i w:val="0"/>
          <w:iCs w:val="0"/>
          <w:color w:val="auto"/>
          <w:sz w:val="32"/>
          <w:szCs w:val="32"/>
          <w:lang w:eastAsia="zh-CN"/>
        </w:rPr>
        <w:t>与</w:t>
      </w:r>
      <w:r>
        <w:rPr>
          <w:rFonts w:hint="eastAsia" w:ascii="仿宋" w:hAnsi="仿宋" w:eastAsia="仿宋" w:cs="仿宋"/>
          <w:i w:val="0"/>
          <w:iCs w:val="0"/>
          <w:color w:val="auto"/>
          <w:sz w:val="32"/>
          <w:szCs w:val="32"/>
        </w:rPr>
        <w:t>年初预算数</w:t>
      </w:r>
      <w:r>
        <w:rPr>
          <w:rFonts w:hint="eastAsia" w:ascii="仿宋" w:hAnsi="仿宋" w:eastAsia="仿宋" w:cs="仿宋"/>
          <w:i w:val="0"/>
          <w:iCs w:val="0"/>
          <w:color w:val="auto"/>
          <w:sz w:val="32"/>
          <w:szCs w:val="32"/>
          <w:lang w:eastAsia="zh-CN"/>
        </w:rPr>
        <w:t>持平。</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val="en-US" w:eastAsia="zh-CN"/>
        </w:rPr>
        <w:t>5、社会保障和就业支出（类）行政事业单位离退休（款）机关事业单位基本养老保险缴费支出（项）</w:t>
      </w:r>
      <w:r>
        <w:rPr>
          <w:rFonts w:hint="eastAsia" w:ascii="仿宋" w:hAnsi="仿宋" w:eastAsia="仿宋" w:cs="仿宋"/>
          <w:i w:val="0"/>
          <w:iCs w:val="0"/>
          <w:color w:val="auto"/>
          <w:sz w:val="32"/>
          <w:szCs w:val="32"/>
          <w:highlight w:val="none"/>
        </w:rPr>
        <w:t>年初预算为</w:t>
      </w:r>
      <w:r>
        <w:rPr>
          <w:rFonts w:hint="eastAsia" w:ascii="仿宋" w:hAnsi="仿宋" w:eastAsia="仿宋" w:cs="仿宋"/>
          <w:i w:val="0"/>
          <w:iCs w:val="0"/>
          <w:color w:val="auto"/>
          <w:sz w:val="32"/>
          <w:szCs w:val="32"/>
          <w:highlight w:val="none"/>
          <w:lang w:val="en-US" w:eastAsia="zh-CN"/>
        </w:rPr>
        <w:t>0</w:t>
      </w:r>
      <w:r>
        <w:rPr>
          <w:rFonts w:hint="eastAsia" w:ascii="仿宋" w:hAnsi="仿宋" w:eastAsia="仿宋" w:cs="仿宋"/>
          <w:i w:val="0"/>
          <w:iCs w:val="0"/>
          <w:color w:val="auto"/>
          <w:sz w:val="32"/>
          <w:szCs w:val="32"/>
          <w:highlight w:val="none"/>
        </w:rPr>
        <w:t>万元，支出决算为</w:t>
      </w:r>
      <w:r>
        <w:rPr>
          <w:rFonts w:hint="eastAsia" w:ascii="仿宋" w:hAnsi="仿宋" w:eastAsia="仿宋" w:cs="仿宋"/>
          <w:i w:val="0"/>
          <w:iCs w:val="0"/>
          <w:color w:val="auto"/>
          <w:sz w:val="32"/>
          <w:szCs w:val="32"/>
          <w:highlight w:val="none"/>
          <w:lang w:val="en-US" w:eastAsia="zh-CN"/>
        </w:rPr>
        <w:t>103.94</w:t>
      </w:r>
      <w:r>
        <w:rPr>
          <w:rFonts w:hint="eastAsia" w:ascii="仿宋" w:hAnsi="仿宋" w:eastAsia="仿宋" w:cs="仿宋"/>
          <w:i w:val="0"/>
          <w:iCs w:val="0"/>
          <w:color w:val="auto"/>
          <w:sz w:val="32"/>
          <w:szCs w:val="32"/>
        </w:rPr>
        <w:t>万元，决算数大于年初预算数的主要原因是：</w:t>
      </w:r>
      <w:r>
        <w:rPr>
          <w:rFonts w:hint="eastAsia" w:ascii="仿宋" w:hAnsi="仿宋" w:eastAsia="仿宋" w:cs="仿宋"/>
          <w:i w:val="0"/>
          <w:iCs w:val="0"/>
          <w:color w:val="auto"/>
          <w:sz w:val="32"/>
          <w:szCs w:val="32"/>
          <w:lang w:eastAsia="zh-CN"/>
        </w:rPr>
        <w:t>此专项是在年初下达指标时由预算指标</w:t>
      </w:r>
      <w:r>
        <w:rPr>
          <w:rFonts w:hint="eastAsia" w:ascii="仿宋" w:hAnsi="仿宋" w:eastAsia="仿宋" w:cs="仿宋"/>
          <w:i w:val="0"/>
          <w:iCs w:val="0"/>
          <w:color w:val="auto"/>
          <w:sz w:val="32"/>
          <w:szCs w:val="32"/>
          <w:highlight w:val="none"/>
          <w:lang w:eastAsia="zh-CN"/>
        </w:rPr>
        <w:t>城乡社区支出城乡社区环境卫生支出基本支出中转过来的，用于支付单位职工基本养老保险缴费。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highlight w:val="none"/>
        </w:rPr>
        <w:t>六、一般公共预算财政拨款基本支</w:t>
      </w:r>
      <w:r>
        <w:rPr>
          <w:rFonts w:hint="default" w:ascii="Times New Roman" w:hAnsi="Times New Roman" w:eastAsia="黑体" w:cs="Times New Roman"/>
          <w:b w:val="0"/>
          <w:bCs/>
          <w:i w:val="0"/>
          <w:iCs w:val="0"/>
          <w:color w:val="auto"/>
          <w:sz w:val="32"/>
          <w:szCs w:val="32"/>
        </w:rPr>
        <w:t>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2019年度财政拨款基本支出</w:t>
      </w:r>
      <w:r>
        <w:rPr>
          <w:rFonts w:hint="eastAsia" w:ascii="仿宋" w:hAnsi="仿宋" w:eastAsia="仿宋" w:cs="仿宋"/>
          <w:i w:val="0"/>
          <w:iCs w:val="0"/>
          <w:color w:val="auto"/>
          <w:sz w:val="32"/>
          <w:szCs w:val="32"/>
          <w:lang w:val="en-US" w:eastAsia="zh-CN"/>
        </w:rPr>
        <w:t>2165.85</w:t>
      </w:r>
      <w:r>
        <w:rPr>
          <w:rFonts w:hint="eastAsia" w:ascii="仿宋" w:hAnsi="仿宋" w:eastAsia="仿宋" w:cs="仿宋"/>
          <w:i w:val="0"/>
          <w:iCs w:val="0"/>
          <w:color w:val="auto"/>
          <w:sz w:val="32"/>
          <w:szCs w:val="32"/>
        </w:rPr>
        <w:t>万元，其中：人员经费</w:t>
      </w:r>
      <w:r>
        <w:rPr>
          <w:rFonts w:hint="eastAsia" w:ascii="仿宋" w:hAnsi="仿宋" w:eastAsia="仿宋" w:cs="仿宋"/>
          <w:i w:val="0"/>
          <w:iCs w:val="0"/>
          <w:color w:val="auto"/>
          <w:sz w:val="32"/>
          <w:szCs w:val="32"/>
          <w:lang w:val="en-US" w:eastAsia="zh-CN"/>
        </w:rPr>
        <w:t>1969.55</w:t>
      </w:r>
      <w:r>
        <w:rPr>
          <w:rFonts w:hint="eastAsia" w:ascii="仿宋" w:hAnsi="仿宋" w:eastAsia="仿宋" w:cs="仿宋"/>
          <w:i w:val="0"/>
          <w:iCs w:val="0"/>
          <w:color w:val="auto"/>
          <w:sz w:val="32"/>
          <w:szCs w:val="32"/>
        </w:rPr>
        <w:t>万元，占基本支出的</w:t>
      </w:r>
      <w:r>
        <w:rPr>
          <w:rFonts w:hint="eastAsia" w:ascii="仿宋" w:hAnsi="仿宋" w:eastAsia="仿宋" w:cs="仿宋"/>
          <w:i w:val="0"/>
          <w:iCs w:val="0"/>
          <w:color w:val="auto"/>
          <w:sz w:val="32"/>
          <w:szCs w:val="32"/>
          <w:lang w:val="en-US" w:eastAsia="zh-CN"/>
        </w:rPr>
        <w:t>90.94</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rPr>
        <w:t>主要包括基本工资、津贴补贴、奖金、</w:t>
      </w:r>
      <w:r>
        <w:rPr>
          <w:rFonts w:hint="eastAsia" w:ascii="仿宋" w:hAnsi="仿宋" w:eastAsia="仿宋" w:cs="仿宋"/>
          <w:i w:val="0"/>
          <w:iCs w:val="0"/>
          <w:color w:val="auto"/>
          <w:sz w:val="32"/>
          <w:szCs w:val="32"/>
          <w:lang w:eastAsia="zh-CN"/>
        </w:rPr>
        <w:t>机关事业单位社保、职业年金、住房公积金、其他工资福利支出、退休费、抚恤金等</w:t>
      </w:r>
      <w:r>
        <w:rPr>
          <w:rFonts w:hint="eastAsia" w:ascii="仿宋" w:hAnsi="仿宋" w:eastAsia="仿宋" w:cs="仿宋"/>
          <w:i w:val="0"/>
          <w:iCs w:val="0"/>
          <w:color w:val="auto"/>
          <w:sz w:val="32"/>
          <w:szCs w:val="32"/>
        </w:rPr>
        <w:t>；公用经费</w:t>
      </w:r>
      <w:r>
        <w:rPr>
          <w:rFonts w:hint="eastAsia" w:ascii="仿宋" w:hAnsi="仿宋" w:eastAsia="仿宋" w:cs="仿宋"/>
          <w:i w:val="0"/>
          <w:iCs w:val="0"/>
          <w:color w:val="auto"/>
          <w:sz w:val="32"/>
          <w:szCs w:val="32"/>
          <w:lang w:val="en-US" w:eastAsia="zh-CN"/>
        </w:rPr>
        <w:t>196.3</w:t>
      </w:r>
      <w:r>
        <w:rPr>
          <w:rFonts w:hint="eastAsia" w:ascii="仿宋" w:hAnsi="仿宋" w:eastAsia="仿宋" w:cs="仿宋"/>
          <w:i w:val="0"/>
          <w:iCs w:val="0"/>
          <w:color w:val="auto"/>
          <w:sz w:val="32"/>
          <w:szCs w:val="32"/>
        </w:rPr>
        <w:t>万元，占基本支出的</w:t>
      </w:r>
      <w:r>
        <w:rPr>
          <w:rFonts w:hint="eastAsia" w:ascii="仿宋" w:hAnsi="仿宋" w:eastAsia="仿宋" w:cs="仿宋"/>
          <w:i w:val="0"/>
          <w:iCs w:val="0"/>
          <w:color w:val="auto"/>
          <w:sz w:val="32"/>
          <w:szCs w:val="32"/>
          <w:lang w:val="en-US" w:eastAsia="zh-CN"/>
        </w:rPr>
        <w:t>9.06</w:t>
      </w:r>
      <w:r>
        <w:rPr>
          <w:rFonts w:hint="eastAsia" w:ascii="仿宋" w:hAnsi="仿宋" w:eastAsia="仿宋" w:cs="仿宋"/>
          <w:i w:val="0"/>
          <w:iCs w:val="0"/>
          <w:color w:val="auto"/>
          <w:sz w:val="32"/>
          <w:szCs w:val="32"/>
        </w:rPr>
        <w:t>%，主要包括办公费、印刷费、咨询费、手续费</w:t>
      </w:r>
      <w:r>
        <w:rPr>
          <w:rFonts w:hint="eastAsia" w:ascii="仿宋" w:hAnsi="仿宋" w:eastAsia="仿宋" w:cs="仿宋"/>
          <w:i w:val="0"/>
          <w:iCs w:val="0"/>
          <w:color w:val="auto"/>
          <w:sz w:val="32"/>
          <w:szCs w:val="32"/>
          <w:lang w:eastAsia="zh-CN"/>
        </w:rPr>
        <w:t>、电费、邮电费、物业管理费、差旅费、维修（护）费、专用材料费、劳务费、工会经费、公务用车运行维护费、其他交通费用、税金及附加、其他商品和服务支出等</w:t>
      </w:r>
      <w:r>
        <w:rPr>
          <w:rFonts w:hint="eastAsia" w:ascii="仿宋" w:hAnsi="仿宋" w:eastAsia="仿宋" w:cs="仿宋"/>
          <w:i w:val="0"/>
          <w:iCs w:val="0"/>
          <w:color w:val="auto"/>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七、一般公共预算财政拨款三公经费支出决算情况说明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“三公”经费财政拨款支出预算为</w:t>
      </w:r>
      <w:r>
        <w:rPr>
          <w:rFonts w:hint="eastAsia" w:ascii="仿宋" w:hAnsi="仿宋" w:eastAsia="仿宋" w:cs="仿宋"/>
          <w:i w:val="0"/>
          <w:iCs w:val="0"/>
          <w:color w:val="auto"/>
          <w:sz w:val="32"/>
          <w:szCs w:val="32"/>
          <w:lang w:val="en-US" w:eastAsia="zh-CN"/>
        </w:rPr>
        <w:t>6.9</w:t>
      </w:r>
      <w:r>
        <w:rPr>
          <w:rFonts w:hint="eastAsia" w:ascii="仿宋" w:hAnsi="仿宋" w:eastAsia="仿宋" w:cs="仿宋"/>
          <w:i w:val="0"/>
          <w:iCs w:val="0"/>
          <w:color w:val="auto"/>
          <w:sz w:val="32"/>
          <w:szCs w:val="32"/>
        </w:rPr>
        <w:t>万元，支出决算为</w:t>
      </w:r>
      <w:r>
        <w:rPr>
          <w:rFonts w:hint="eastAsia" w:ascii="仿宋" w:hAnsi="仿宋" w:eastAsia="仿宋" w:cs="仿宋"/>
          <w:i w:val="0"/>
          <w:iCs w:val="0"/>
          <w:color w:val="auto"/>
          <w:sz w:val="32"/>
          <w:szCs w:val="32"/>
          <w:lang w:val="en-US" w:eastAsia="zh-CN"/>
        </w:rPr>
        <w:t>4.41</w:t>
      </w:r>
      <w:r>
        <w:rPr>
          <w:rFonts w:hint="eastAsia" w:ascii="仿宋" w:hAnsi="仿宋" w:eastAsia="仿宋" w:cs="仿宋"/>
          <w:i w:val="0"/>
          <w:iCs w:val="0"/>
          <w:color w:val="auto"/>
          <w:sz w:val="32"/>
          <w:szCs w:val="32"/>
        </w:rPr>
        <w:t>万元，完成预算的</w:t>
      </w:r>
      <w:r>
        <w:rPr>
          <w:rFonts w:hint="eastAsia" w:ascii="仿宋" w:hAnsi="仿宋" w:eastAsia="仿宋" w:cs="仿宋"/>
          <w:i w:val="0"/>
          <w:iCs w:val="0"/>
          <w:color w:val="auto"/>
          <w:sz w:val="32"/>
          <w:szCs w:val="32"/>
          <w:lang w:val="en-US" w:eastAsia="zh-CN"/>
        </w:rPr>
        <w:t>63.91</w:t>
      </w:r>
      <w:r>
        <w:rPr>
          <w:rFonts w:hint="eastAsia" w:ascii="仿宋" w:hAnsi="仿宋" w:eastAsia="仿宋" w:cs="仿宋"/>
          <w:i w:val="0"/>
          <w:iCs w:val="0"/>
          <w:color w:val="auto"/>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本单位无</w:t>
      </w:r>
      <w:r>
        <w:rPr>
          <w:rFonts w:hint="eastAsia" w:ascii="仿宋" w:hAnsi="仿宋" w:eastAsia="仿宋" w:cs="仿宋"/>
          <w:i w:val="0"/>
          <w:iCs w:val="0"/>
          <w:color w:val="auto"/>
          <w:sz w:val="32"/>
          <w:szCs w:val="32"/>
        </w:rPr>
        <w:t>因公出国（境）费支出</w:t>
      </w:r>
      <w:r>
        <w:rPr>
          <w:rFonts w:hint="eastAsia" w:ascii="仿宋" w:hAnsi="仿宋" w:eastAsia="仿宋" w:cs="仿宋"/>
          <w:i w:val="0"/>
          <w:iCs w:val="0"/>
          <w:color w:val="auto"/>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公务接待费支出预算为</w:t>
      </w:r>
      <w:r>
        <w:rPr>
          <w:rFonts w:hint="eastAsia" w:ascii="仿宋" w:hAnsi="仿宋" w:eastAsia="仿宋" w:cs="仿宋"/>
          <w:i w:val="0"/>
          <w:iCs w:val="0"/>
          <w:color w:val="auto"/>
          <w:sz w:val="32"/>
          <w:szCs w:val="32"/>
          <w:lang w:val="en-US" w:eastAsia="zh-CN"/>
        </w:rPr>
        <w:t>0.5</w:t>
      </w:r>
      <w:r>
        <w:rPr>
          <w:rFonts w:hint="eastAsia" w:ascii="仿宋" w:hAnsi="仿宋" w:eastAsia="仿宋" w:cs="仿宋"/>
          <w:i w:val="0"/>
          <w:iCs w:val="0"/>
          <w:color w:val="auto"/>
          <w:sz w:val="32"/>
          <w:szCs w:val="32"/>
        </w:rPr>
        <w:t>万元，支出决算为</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万元，完成预算的</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%，决算数</w:t>
      </w:r>
      <w:r>
        <w:rPr>
          <w:rFonts w:hint="eastAsia" w:ascii="仿宋" w:hAnsi="仿宋" w:eastAsia="仿宋" w:cs="仿宋"/>
          <w:i w:val="0"/>
          <w:iCs w:val="0"/>
          <w:color w:val="auto"/>
          <w:sz w:val="32"/>
          <w:szCs w:val="32"/>
          <w:lang w:eastAsia="zh-CN"/>
        </w:rPr>
        <w:t>小于</w:t>
      </w:r>
      <w:r>
        <w:rPr>
          <w:rFonts w:hint="eastAsia" w:ascii="仿宋" w:hAnsi="仿宋" w:eastAsia="仿宋" w:cs="仿宋"/>
          <w:i w:val="0"/>
          <w:iCs w:val="0"/>
          <w:color w:val="auto"/>
          <w:sz w:val="32"/>
          <w:szCs w:val="32"/>
        </w:rPr>
        <w:t>年初预算数</w:t>
      </w:r>
      <w:r>
        <w:rPr>
          <w:rFonts w:hint="eastAsia" w:ascii="仿宋" w:hAnsi="仿宋" w:eastAsia="仿宋" w:cs="仿宋"/>
          <w:i w:val="0"/>
          <w:iCs w:val="0"/>
          <w:color w:val="auto"/>
          <w:sz w:val="32"/>
          <w:szCs w:val="32"/>
          <w:lang w:eastAsia="zh-CN"/>
        </w:rPr>
        <w:t>，主要是因为本着厉行节约的精神，无市内公务接待。</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公务用车购置费及运行维护费支出预算为</w:t>
      </w:r>
      <w:r>
        <w:rPr>
          <w:rFonts w:hint="eastAsia" w:ascii="仿宋" w:hAnsi="仿宋" w:eastAsia="仿宋" w:cs="仿宋"/>
          <w:i w:val="0"/>
          <w:iCs w:val="0"/>
          <w:color w:val="auto"/>
          <w:sz w:val="32"/>
          <w:szCs w:val="32"/>
          <w:lang w:val="en-US" w:eastAsia="zh-CN"/>
        </w:rPr>
        <w:t>6.4</w:t>
      </w:r>
      <w:r>
        <w:rPr>
          <w:rFonts w:hint="eastAsia" w:ascii="仿宋" w:hAnsi="仿宋" w:eastAsia="仿宋" w:cs="仿宋"/>
          <w:i w:val="0"/>
          <w:iCs w:val="0"/>
          <w:color w:val="auto"/>
          <w:sz w:val="32"/>
          <w:szCs w:val="32"/>
        </w:rPr>
        <w:t>万元，支出决算为</w:t>
      </w:r>
      <w:r>
        <w:rPr>
          <w:rFonts w:hint="eastAsia" w:ascii="仿宋" w:hAnsi="仿宋" w:eastAsia="仿宋" w:cs="仿宋"/>
          <w:i w:val="0"/>
          <w:iCs w:val="0"/>
          <w:color w:val="auto"/>
          <w:sz w:val="32"/>
          <w:szCs w:val="32"/>
          <w:lang w:val="en-US" w:eastAsia="zh-CN"/>
        </w:rPr>
        <w:t>4.41</w:t>
      </w:r>
      <w:r>
        <w:rPr>
          <w:rFonts w:hint="eastAsia" w:ascii="仿宋" w:hAnsi="仿宋" w:eastAsia="仿宋" w:cs="仿宋"/>
          <w:i w:val="0"/>
          <w:iCs w:val="0"/>
          <w:color w:val="auto"/>
          <w:sz w:val="32"/>
          <w:szCs w:val="32"/>
        </w:rPr>
        <w:t>万元，完成预算的</w:t>
      </w:r>
      <w:r>
        <w:rPr>
          <w:rFonts w:hint="eastAsia" w:ascii="仿宋" w:hAnsi="仿宋" w:eastAsia="仿宋" w:cs="仿宋"/>
          <w:i w:val="0"/>
          <w:iCs w:val="0"/>
          <w:color w:val="auto"/>
          <w:sz w:val="32"/>
          <w:szCs w:val="32"/>
          <w:lang w:val="en-US" w:eastAsia="zh-CN"/>
        </w:rPr>
        <w:t>63.91</w:t>
      </w:r>
      <w:r>
        <w:rPr>
          <w:rFonts w:hint="eastAsia" w:ascii="仿宋" w:hAnsi="仿宋" w:eastAsia="仿宋" w:cs="仿宋"/>
          <w:i w:val="0"/>
          <w:iCs w:val="0"/>
          <w:color w:val="auto"/>
          <w:sz w:val="32"/>
          <w:szCs w:val="32"/>
        </w:rPr>
        <w:t>%，决算数小于年初预算数的主要原因是</w:t>
      </w:r>
      <w:r>
        <w:rPr>
          <w:rFonts w:hint="eastAsia" w:ascii="仿宋" w:hAnsi="仿宋" w:eastAsia="仿宋" w:cs="仿宋"/>
          <w:i w:val="0"/>
          <w:iCs w:val="0"/>
          <w:color w:val="auto"/>
          <w:sz w:val="32"/>
          <w:szCs w:val="32"/>
          <w:lang w:eastAsia="zh-CN"/>
        </w:rPr>
        <w:t>今年公务用车货车维修费减少</w:t>
      </w:r>
      <w:r>
        <w:rPr>
          <w:rFonts w:hint="eastAsia" w:ascii="仿宋" w:hAnsi="仿宋" w:eastAsia="仿宋" w:cs="仿宋"/>
          <w:i w:val="0"/>
          <w:iCs w:val="0"/>
          <w:color w:val="auto"/>
          <w:sz w:val="32"/>
          <w:szCs w:val="32"/>
        </w:rPr>
        <w:t>，与上年相比减少</w:t>
      </w:r>
      <w:r>
        <w:rPr>
          <w:rFonts w:hint="eastAsia" w:ascii="仿宋" w:hAnsi="仿宋" w:eastAsia="仿宋" w:cs="仿宋"/>
          <w:i w:val="0"/>
          <w:iCs w:val="0"/>
          <w:color w:val="auto"/>
          <w:sz w:val="32"/>
          <w:szCs w:val="32"/>
          <w:lang w:val="en-US" w:eastAsia="zh-CN"/>
        </w:rPr>
        <w:t>2</w:t>
      </w:r>
      <w:r>
        <w:rPr>
          <w:rFonts w:hint="eastAsia" w:ascii="仿宋" w:hAnsi="仿宋" w:eastAsia="仿宋" w:cs="仿宋"/>
          <w:i w:val="0"/>
          <w:iCs w:val="0"/>
          <w:color w:val="auto"/>
          <w:sz w:val="32"/>
          <w:szCs w:val="32"/>
        </w:rPr>
        <w:t>万元，减少</w:t>
      </w:r>
      <w:r>
        <w:rPr>
          <w:rFonts w:hint="eastAsia" w:ascii="仿宋" w:hAnsi="仿宋" w:eastAsia="仿宋" w:cs="仿宋"/>
          <w:i w:val="0"/>
          <w:iCs w:val="0"/>
          <w:color w:val="auto"/>
          <w:sz w:val="32"/>
          <w:szCs w:val="32"/>
          <w:lang w:val="en-US" w:eastAsia="zh-CN"/>
        </w:rPr>
        <w:t>32.16</w:t>
      </w:r>
      <w:r>
        <w:rPr>
          <w:rFonts w:hint="eastAsia" w:ascii="仿宋" w:hAnsi="仿宋" w:eastAsia="仿宋" w:cs="仿宋"/>
          <w:i w:val="0"/>
          <w:iCs w:val="0"/>
          <w:color w:val="auto"/>
          <w:sz w:val="32"/>
          <w:szCs w:val="32"/>
        </w:rPr>
        <w:t>%</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rPr>
        <w:t>减少的主要原因是</w:t>
      </w:r>
      <w:r>
        <w:rPr>
          <w:rFonts w:hint="eastAsia" w:ascii="仿宋" w:hAnsi="仿宋" w:eastAsia="仿宋" w:cs="仿宋"/>
          <w:i w:val="0"/>
          <w:iCs w:val="0"/>
          <w:color w:val="auto"/>
          <w:sz w:val="32"/>
          <w:szCs w:val="32"/>
          <w:lang w:eastAsia="zh-CN"/>
        </w:rPr>
        <w:t>今年公务用车维修费比去年同期减少</w:t>
      </w:r>
      <w:r>
        <w:rPr>
          <w:rFonts w:hint="eastAsia" w:ascii="仿宋" w:hAnsi="仿宋" w:eastAsia="仿宋" w:cs="仿宋"/>
          <w:i w:val="0"/>
          <w:iCs w:val="0"/>
          <w:color w:val="auto"/>
          <w:sz w:val="32"/>
          <w:szCs w:val="32"/>
          <w:lang w:val="en-US" w:eastAsia="zh-CN"/>
        </w:rPr>
        <w:t>2万元</w:t>
      </w:r>
      <w:r>
        <w:rPr>
          <w:rFonts w:hint="eastAsia" w:ascii="仿宋" w:hAnsi="仿宋" w:eastAsia="仿宋" w:cs="仿宋"/>
          <w:i w:val="0"/>
          <w:iCs w:val="0"/>
          <w:color w:val="auto"/>
          <w:sz w:val="32"/>
          <w:szCs w:val="32"/>
        </w:rPr>
        <w:t>。</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2019年度“三公”经费财政拨款支出决算中，</w:t>
      </w:r>
      <w:r>
        <w:rPr>
          <w:rFonts w:hint="eastAsia" w:ascii="仿宋" w:hAnsi="仿宋" w:eastAsia="仿宋" w:cs="仿宋"/>
          <w:i w:val="0"/>
          <w:iCs w:val="0"/>
          <w:color w:val="auto"/>
          <w:sz w:val="32"/>
          <w:szCs w:val="32"/>
          <w:lang w:eastAsia="zh-CN"/>
        </w:rPr>
        <w:t>无</w:t>
      </w:r>
      <w:r>
        <w:rPr>
          <w:rFonts w:hint="eastAsia" w:ascii="仿宋" w:hAnsi="仿宋" w:eastAsia="仿宋" w:cs="仿宋"/>
          <w:i w:val="0"/>
          <w:iCs w:val="0"/>
          <w:color w:val="auto"/>
          <w:sz w:val="32"/>
          <w:szCs w:val="32"/>
        </w:rPr>
        <w:t>公务接待费支出</w:t>
      </w:r>
      <w:r>
        <w:rPr>
          <w:rFonts w:hint="eastAsia" w:ascii="仿宋" w:hAnsi="仿宋" w:eastAsia="仿宋" w:cs="仿宋"/>
          <w:i w:val="0"/>
          <w:iCs w:val="0"/>
          <w:color w:val="auto"/>
          <w:sz w:val="32"/>
          <w:szCs w:val="32"/>
          <w:lang w:eastAsia="zh-CN"/>
        </w:rPr>
        <w:t>，无</w:t>
      </w:r>
      <w:r>
        <w:rPr>
          <w:rFonts w:hint="eastAsia" w:ascii="仿宋" w:hAnsi="仿宋" w:eastAsia="仿宋" w:cs="仿宋"/>
          <w:i w:val="0"/>
          <w:iCs w:val="0"/>
          <w:color w:val="auto"/>
          <w:sz w:val="32"/>
          <w:szCs w:val="32"/>
        </w:rPr>
        <w:t>因公出国（境）费支出</w:t>
      </w:r>
      <w:r>
        <w:rPr>
          <w:rFonts w:hint="eastAsia" w:ascii="仿宋" w:hAnsi="仿宋" w:eastAsia="仿宋" w:cs="仿宋"/>
          <w:i w:val="0"/>
          <w:iCs w:val="0"/>
          <w:color w:val="auto"/>
          <w:sz w:val="32"/>
          <w:szCs w:val="32"/>
          <w:lang w:eastAsia="zh-CN"/>
        </w:rPr>
        <w:t>，</w:t>
      </w:r>
      <w:r>
        <w:rPr>
          <w:rFonts w:hint="eastAsia" w:ascii="仿宋" w:hAnsi="仿宋" w:eastAsia="仿宋" w:cs="仿宋"/>
          <w:i w:val="0"/>
          <w:iCs w:val="0"/>
          <w:color w:val="auto"/>
          <w:sz w:val="32"/>
          <w:szCs w:val="32"/>
        </w:rPr>
        <w:t>公务用车购置费及运行维护费支出决算</w:t>
      </w:r>
      <w:r>
        <w:rPr>
          <w:rFonts w:hint="eastAsia" w:ascii="仿宋" w:hAnsi="仿宋" w:eastAsia="仿宋" w:cs="仿宋"/>
          <w:i w:val="0"/>
          <w:iCs w:val="0"/>
          <w:color w:val="auto"/>
          <w:sz w:val="32"/>
          <w:szCs w:val="32"/>
          <w:lang w:val="en-US" w:eastAsia="zh-CN"/>
        </w:rPr>
        <w:t>4.41</w:t>
      </w:r>
      <w:r>
        <w:rPr>
          <w:rFonts w:hint="eastAsia" w:ascii="仿宋" w:hAnsi="仿宋" w:eastAsia="仿宋" w:cs="仿宋"/>
          <w:i w:val="0"/>
          <w:iCs w:val="0"/>
          <w:color w:val="auto"/>
          <w:sz w:val="32"/>
          <w:szCs w:val="32"/>
        </w:rPr>
        <w:t>万元，占</w:t>
      </w:r>
      <w:r>
        <w:rPr>
          <w:rFonts w:hint="eastAsia" w:ascii="仿宋" w:hAnsi="仿宋" w:eastAsia="仿宋" w:cs="仿宋"/>
          <w:i w:val="0"/>
          <w:iCs w:val="0"/>
          <w:color w:val="auto"/>
          <w:sz w:val="32"/>
          <w:szCs w:val="32"/>
          <w:lang w:val="en-US" w:eastAsia="zh-CN"/>
        </w:rPr>
        <w:t>100</w:t>
      </w:r>
      <w:r>
        <w:rPr>
          <w:rFonts w:hint="eastAsia" w:ascii="仿宋" w:hAnsi="仿宋" w:eastAsia="仿宋" w:cs="仿宋"/>
          <w:i w:val="0"/>
          <w:iCs w:val="0"/>
          <w:color w:val="auto"/>
          <w:sz w:val="32"/>
          <w:szCs w:val="32"/>
        </w:rPr>
        <w:t>%。其中：</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kern w:val="0"/>
          <w:sz w:val="32"/>
          <w:szCs w:val="32"/>
          <w:highlight w:val="yellow"/>
        </w:rPr>
      </w:pPr>
      <w:r>
        <w:rPr>
          <w:rFonts w:hint="eastAsia" w:ascii="仿宋" w:hAnsi="仿宋" w:eastAsia="仿宋" w:cs="仿宋"/>
          <w:i w:val="0"/>
          <w:iCs w:val="0"/>
          <w:color w:val="auto"/>
          <w:sz w:val="32"/>
          <w:szCs w:val="32"/>
          <w:lang w:val="en-US" w:eastAsia="zh-CN"/>
        </w:rPr>
        <w:t>1</w:t>
      </w:r>
      <w:r>
        <w:rPr>
          <w:rFonts w:hint="eastAsia" w:ascii="仿宋" w:hAnsi="仿宋" w:eastAsia="仿宋" w:cs="仿宋"/>
          <w:i w:val="0"/>
          <w:iCs w:val="0"/>
          <w:color w:val="auto"/>
          <w:sz w:val="32"/>
          <w:szCs w:val="32"/>
        </w:rPr>
        <w:t>、公务用车购置费及运行维护费支出决算为</w:t>
      </w:r>
      <w:r>
        <w:rPr>
          <w:rFonts w:hint="eastAsia" w:ascii="仿宋" w:hAnsi="仿宋" w:eastAsia="仿宋" w:cs="仿宋"/>
          <w:i w:val="0"/>
          <w:iCs w:val="0"/>
          <w:color w:val="auto"/>
          <w:sz w:val="32"/>
          <w:szCs w:val="32"/>
          <w:lang w:val="en-US" w:eastAsia="zh-CN"/>
        </w:rPr>
        <w:t>4.41</w:t>
      </w:r>
      <w:r>
        <w:rPr>
          <w:rFonts w:hint="eastAsia" w:ascii="仿宋" w:hAnsi="仿宋" w:eastAsia="仿宋" w:cs="仿宋"/>
          <w:i w:val="0"/>
          <w:iCs w:val="0"/>
          <w:color w:val="auto"/>
          <w:sz w:val="32"/>
          <w:szCs w:val="32"/>
        </w:rPr>
        <w:t>万元，其中：公务用车购置费</w:t>
      </w:r>
      <w:r>
        <w:rPr>
          <w:rFonts w:hint="eastAsia" w:ascii="仿宋" w:hAnsi="仿宋" w:eastAsia="仿宋" w:cs="仿宋"/>
          <w:i w:val="0"/>
          <w:iCs w:val="0"/>
          <w:color w:val="auto"/>
          <w:sz w:val="32"/>
          <w:szCs w:val="32"/>
          <w:lang w:val="en-US" w:eastAsia="zh-CN"/>
        </w:rPr>
        <w:t>0</w:t>
      </w:r>
      <w:r>
        <w:rPr>
          <w:rFonts w:hint="eastAsia" w:ascii="仿宋" w:hAnsi="仿宋" w:eastAsia="仿宋" w:cs="仿宋"/>
          <w:i w:val="0"/>
          <w:iCs w:val="0"/>
          <w:color w:val="auto"/>
          <w:sz w:val="32"/>
          <w:szCs w:val="32"/>
        </w:rPr>
        <w:t>万元。公务用车运行维护费</w:t>
      </w:r>
      <w:r>
        <w:rPr>
          <w:rFonts w:hint="eastAsia" w:ascii="仿宋" w:hAnsi="仿宋" w:eastAsia="仿宋" w:cs="仿宋"/>
          <w:i w:val="0"/>
          <w:iCs w:val="0"/>
          <w:color w:val="auto"/>
          <w:sz w:val="32"/>
          <w:szCs w:val="32"/>
          <w:lang w:val="en-US" w:eastAsia="zh-CN"/>
        </w:rPr>
        <w:t>4.41</w:t>
      </w:r>
      <w:r>
        <w:rPr>
          <w:rFonts w:hint="eastAsia" w:ascii="仿宋" w:hAnsi="仿宋" w:eastAsia="仿宋" w:cs="仿宋"/>
          <w:i w:val="0"/>
          <w:iCs w:val="0"/>
          <w:color w:val="auto"/>
          <w:sz w:val="32"/>
          <w:szCs w:val="32"/>
        </w:rPr>
        <w:t>万元，主要是</w:t>
      </w:r>
      <w:r>
        <w:rPr>
          <w:rFonts w:hint="eastAsia" w:ascii="仿宋" w:hAnsi="仿宋" w:eastAsia="仿宋" w:cs="仿宋"/>
          <w:i w:val="0"/>
          <w:iCs w:val="0"/>
          <w:color w:val="auto"/>
          <w:sz w:val="32"/>
          <w:szCs w:val="32"/>
          <w:lang w:eastAsia="zh-CN"/>
        </w:rPr>
        <w:t>公务用车燃油费、维修费、保险费及司机安全奖</w:t>
      </w:r>
      <w:r>
        <w:rPr>
          <w:rFonts w:hint="eastAsia" w:ascii="仿宋" w:hAnsi="仿宋" w:eastAsia="仿宋" w:cs="仿宋"/>
          <w:i w:val="0"/>
          <w:iCs w:val="0"/>
          <w:color w:val="auto"/>
          <w:sz w:val="32"/>
          <w:szCs w:val="32"/>
        </w:rPr>
        <w:t>支出，截</w:t>
      </w:r>
      <w:r>
        <w:rPr>
          <w:rFonts w:hint="eastAsia" w:ascii="仿宋" w:hAnsi="仿宋" w:eastAsia="仿宋" w:cs="仿宋"/>
          <w:i w:val="0"/>
          <w:iCs w:val="0"/>
          <w:color w:val="auto"/>
          <w:sz w:val="32"/>
          <w:szCs w:val="32"/>
          <w:lang w:eastAsia="zh-CN"/>
        </w:rPr>
        <w:t>至</w:t>
      </w:r>
      <w:r>
        <w:rPr>
          <w:rFonts w:hint="eastAsia" w:ascii="仿宋" w:hAnsi="仿宋" w:eastAsia="仿宋" w:cs="仿宋"/>
          <w:i w:val="0"/>
          <w:iCs w:val="0"/>
          <w:color w:val="auto"/>
          <w:sz w:val="32"/>
          <w:szCs w:val="32"/>
        </w:rPr>
        <w:t>2019年12月31日，我单位开支财政拨款的公务用车保有量为</w:t>
      </w:r>
      <w:r>
        <w:rPr>
          <w:rFonts w:hint="eastAsia" w:ascii="仿宋" w:hAnsi="仿宋" w:eastAsia="仿宋" w:cs="仿宋"/>
          <w:i w:val="0"/>
          <w:iCs w:val="0"/>
          <w:color w:val="auto"/>
          <w:sz w:val="32"/>
          <w:szCs w:val="32"/>
          <w:lang w:val="en-US" w:eastAsia="zh-CN"/>
        </w:rPr>
        <w:t>2</w:t>
      </w:r>
      <w:r>
        <w:rPr>
          <w:rFonts w:hint="eastAsia" w:ascii="仿宋" w:hAnsi="仿宋" w:eastAsia="仿宋" w:cs="仿宋"/>
          <w:i w:val="0"/>
          <w:iCs w:val="0"/>
          <w:color w:val="auto"/>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sz w:val="32"/>
          <w:szCs w:val="32"/>
          <w:lang w:eastAsia="zh-CN"/>
        </w:rPr>
      </w:pPr>
      <w:r>
        <w:rPr>
          <w:rFonts w:hint="eastAsia" w:ascii="仿宋" w:hAnsi="仿宋" w:eastAsia="仿宋" w:cs="仿宋"/>
          <w:i w:val="0"/>
          <w:iCs w:val="0"/>
          <w:color w:val="auto"/>
          <w:sz w:val="32"/>
          <w:szCs w:val="32"/>
          <w:lang w:eastAsia="zh-CN"/>
        </w:rPr>
        <w:t>我单位</w:t>
      </w:r>
      <w:r>
        <w:rPr>
          <w:rFonts w:hint="eastAsia" w:ascii="仿宋" w:hAnsi="仿宋" w:eastAsia="仿宋" w:cs="仿宋"/>
          <w:i w:val="0"/>
          <w:iCs w:val="0"/>
          <w:color w:val="auto"/>
          <w:sz w:val="32"/>
          <w:szCs w:val="32"/>
        </w:rPr>
        <w:t>2019年度</w:t>
      </w:r>
      <w:r>
        <w:rPr>
          <w:rFonts w:hint="eastAsia" w:ascii="仿宋" w:hAnsi="仿宋" w:eastAsia="仿宋" w:cs="仿宋"/>
          <w:i w:val="0"/>
          <w:iCs w:val="0"/>
          <w:color w:val="auto"/>
          <w:sz w:val="32"/>
          <w:szCs w:val="32"/>
          <w:lang w:eastAsia="zh-CN"/>
        </w:rPr>
        <w:t>无</w:t>
      </w:r>
      <w:r>
        <w:rPr>
          <w:rFonts w:hint="eastAsia" w:ascii="仿宋" w:hAnsi="仿宋" w:eastAsia="仿宋" w:cs="仿宋"/>
          <w:i w:val="0"/>
          <w:iCs w:val="0"/>
          <w:color w:val="auto"/>
          <w:sz w:val="32"/>
          <w:szCs w:val="32"/>
        </w:rPr>
        <w:t>政府性基金预算财政拨款收支</w:t>
      </w:r>
      <w:r>
        <w:rPr>
          <w:rFonts w:hint="eastAsia" w:ascii="仿宋" w:hAnsi="仿宋" w:eastAsia="仿宋" w:cs="仿宋"/>
          <w:i w:val="0"/>
          <w:iCs w:val="0"/>
          <w:color w:val="auto"/>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i w:val="0"/>
          <w:iCs w:val="0"/>
          <w:color w:val="auto"/>
          <w:sz w:val="32"/>
          <w:szCs w:val="32"/>
          <w:highlight w:val="none"/>
        </w:rPr>
      </w:pPr>
      <w:r>
        <w:rPr>
          <w:rFonts w:hint="default" w:ascii="Times New Roman" w:hAnsi="Times New Roman" w:eastAsia="黑体" w:cs="Times New Roman"/>
          <w:b w:val="0"/>
          <w:bCs/>
          <w:i w:val="0"/>
          <w:iCs w:val="0"/>
          <w:color w:val="auto"/>
          <w:sz w:val="32"/>
          <w:szCs w:val="32"/>
          <w:highlight w:val="none"/>
        </w:rPr>
        <w:t>九、关于2019年度预算绩效情况说明</w:t>
      </w:r>
    </w:p>
    <w:p>
      <w:pPr>
        <w:autoSpaceDE w:val="0"/>
        <w:autoSpaceDN w:val="0"/>
        <w:adjustRightInd w:val="0"/>
        <w:ind w:firstLine="640" w:firstLineChars="200"/>
        <w:jc w:val="left"/>
        <w:rPr>
          <w:rFonts w:hint="default" w:ascii="Times New Roman" w:hAnsi="Times New Roman" w:eastAsia="仿宋_GB2312" w:cs="Times New Roman"/>
          <w:i w:val="0"/>
          <w:iCs w:val="0"/>
          <w:color w:val="auto"/>
          <w:kern w:val="0"/>
          <w:sz w:val="32"/>
          <w:szCs w:val="32"/>
          <w:lang w:val="en-US" w:eastAsia="zh-CN" w:bidi="ar-SA"/>
        </w:rPr>
      </w:pPr>
      <w:r>
        <w:rPr>
          <w:rFonts w:hint="eastAsia" w:ascii="仿宋" w:hAnsi="仿宋" w:eastAsia="仿宋" w:cs="仿宋"/>
          <w:i w:val="0"/>
          <w:iCs w:val="0"/>
          <w:color w:val="auto"/>
          <w:kern w:val="0"/>
          <w:sz w:val="32"/>
          <w:szCs w:val="32"/>
          <w:lang w:val="en-US" w:eastAsia="zh-CN" w:bidi="ar-SA"/>
        </w:rPr>
        <w:t>按照本市级预算绩效管理工作的总体要求，2019年长沙市苗圃（长沙园林生态园）整体支出2439.27万元，全部实行整体支出绩效目标管理，涉及项目支出300万元，用于园内绿化维护、园内日常维修维护、固定资产购置及三防费用。</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b w:val="0"/>
          <w:bCs/>
          <w:i w:val="0"/>
          <w:iCs w:val="0"/>
          <w:color w:val="auto"/>
          <w:sz w:val="32"/>
          <w:szCs w:val="32"/>
        </w:rPr>
      </w:pPr>
      <w:r>
        <w:rPr>
          <w:rFonts w:hint="default" w:ascii="Times New Roman" w:hAnsi="Times New Roman" w:eastAsia="黑体" w:cs="Times New Roman"/>
          <w:b w:val="0"/>
          <w:bCs/>
          <w:i w:val="0"/>
          <w:iCs w:val="0"/>
          <w:color w:val="auto"/>
          <w:sz w:val="32"/>
          <w:szCs w:val="32"/>
        </w:rPr>
        <w:t>十、其他重要事项情况说明</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（一）机关运行经费支出情况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olor w:val="auto"/>
          <w:kern w:val="0"/>
          <w:sz w:val="32"/>
          <w:szCs w:val="32"/>
        </w:rPr>
      </w:pPr>
      <w:r>
        <w:rPr>
          <w:rFonts w:hint="eastAsia" w:ascii="仿宋" w:hAnsi="仿宋" w:eastAsia="仿宋" w:cs="仿宋"/>
          <w:i w:val="0"/>
          <w:iCs w:val="0"/>
          <w:color w:val="auto"/>
          <w:kern w:val="0"/>
          <w:sz w:val="32"/>
          <w:szCs w:val="32"/>
        </w:rPr>
        <w:t>本部门2019年度机关运行经费支出</w:t>
      </w:r>
      <w:r>
        <w:rPr>
          <w:rFonts w:hint="eastAsia" w:ascii="仿宋" w:hAnsi="仿宋" w:eastAsia="仿宋" w:cs="仿宋"/>
          <w:i w:val="0"/>
          <w:iCs w:val="0"/>
          <w:color w:val="auto"/>
          <w:kern w:val="0"/>
          <w:sz w:val="32"/>
          <w:szCs w:val="32"/>
          <w:lang w:val="en-US" w:eastAsia="zh-CN"/>
        </w:rPr>
        <w:t>196.29</w:t>
      </w:r>
      <w:r>
        <w:rPr>
          <w:rFonts w:hint="eastAsia" w:ascii="仿宋" w:hAnsi="仿宋" w:eastAsia="仿宋" w:cs="仿宋"/>
          <w:i w:val="0"/>
          <w:iCs w:val="0"/>
          <w:color w:val="auto"/>
          <w:kern w:val="0"/>
          <w:sz w:val="32"/>
          <w:szCs w:val="32"/>
        </w:rPr>
        <w:t>万元，比年初预算数减少</w:t>
      </w:r>
      <w:r>
        <w:rPr>
          <w:rFonts w:hint="eastAsia" w:ascii="仿宋" w:hAnsi="仿宋" w:eastAsia="仿宋" w:cs="仿宋"/>
          <w:i w:val="0"/>
          <w:iCs w:val="0"/>
          <w:color w:val="auto"/>
          <w:kern w:val="0"/>
          <w:sz w:val="32"/>
          <w:szCs w:val="32"/>
          <w:lang w:val="en-US" w:eastAsia="zh-CN"/>
        </w:rPr>
        <w:t>3.43</w:t>
      </w:r>
      <w:r>
        <w:rPr>
          <w:rFonts w:hint="eastAsia" w:ascii="仿宋" w:hAnsi="仿宋" w:eastAsia="仿宋" w:cs="仿宋"/>
          <w:i w:val="0"/>
          <w:iCs w:val="0"/>
          <w:color w:val="auto"/>
          <w:kern w:val="0"/>
          <w:sz w:val="32"/>
          <w:szCs w:val="32"/>
        </w:rPr>
        <w:t>万元，降低</w:t>
      </w:r>
      <w:r>
        <w:rPr>
          <w:rFonts w:hint="eastAsia" w:ascii="仿宋" w:hAnsi="仿宋" w:eastAsia="仿宋" w:cs="仿宋"/>
          <w:i w:val="0"/>
          <w:iCs w:val="0"/>
          <w:color w:val="auto"/>
          <w:kern w:val="0"/>
          <w:sz w:val="32"/>
          <w:szCs w:val="32"/>
          <w:lang w:val="en-US" w:eastAsia="zh-CN"/>
        </w:rPr>
        <w:t>1.72</w:t>
      </w:r>
      <w:r>
        <w:rPr>
          <w:rFonts w:hint="eastAsia" w:ascii="仿宋" w:hAnsi="仿宋" w:eastAsia="仿宋" w:cs="仿宋"/>
          <w:i w:val="0"/>
          <w:iCs w:val="0"/>
          <w:color w:val="auto"/>
          <w:kern w:val="0"/>
          <w:sz w:val="32"/>
          <w:szCs w:val="32"/>
        </w:rPr>
        <w:t>%</w:t>
      </w:r>
      <w:r>
        <w:rPr>
          <w:rFonts w:hint="eastAsia" w:ascii="仿宋" w:hAnsi="仿宋" w:eastAsia="仿宋" w:cs="仿宋"/>
          <w:i w:val="0"/>
          <w:iCs w:val="0"/>
          <w:color w:val="auto"/>
          <w:kern w:val="0"/>
          <w:sz w:val="32"/>
          <w:szCs w:val="32"/>
          <w:lang w:val="en-US" w:eastAsia="zh-CN"/>
        </w:rPr>
        <w:t>,主要是因为本年无会议费及培训费支出,另“三公”经费减少2.49万元</w:t>
      </w:r>
      <w:r>
        <w:rPr>
          <w:rFonts w:hint="eastAsia" w:ascii="仿宋" w:hAnsi="仿宋" w:eastAsia="仿宋" w:cs="仿宋"/>
          <w:i w:val="0"/>
          <w:iCs w:val="0"/>
          <w:color w:val="auto"/>
          <w:kern w:val="0"/>
          <w:sz w:val="32"/>
          <w:szCs w:val="32"/>
        </w:rPr>
        <w:t>。</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（二）一般性支出情况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i w:val="0"/>
          <w:iCs w:val="0"/>
          <w:color w:val="auto"/>
          <w:kern w:val="0"/>
          <w:sz w:val="32"/>
          <w:szCs w:val="32"/>
        </w:rPr>
      </w:pPr>
      <w:r>
        <w:rPr>
          <w:rFonts w:hint="default" w:ascii="Times New Roman" w:hAnsi="Times New Roman" w:eastAsia="仿宋_GB2312" w:cs="Times New Roman"/>
          <w:i w:val="0"/>
          <w:iCs w:val="0"/>
          <w:color w:val="auto"/>
          <w:kern w:val="0"/>
          <w:sz w:val="32"/>
          <w:szCs w:val="32"/>
        </w:rPr>
        <w:t>2019年本部门开支会议费</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万元，开支培训费</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万元，；举办节庆、晚会、论坛、赛事活动，开支</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万元。（注：三类会议、培训活动，节庆、晚会、论坛、赛事等活动，请分项列明活动计划及经费预算情况）</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（三）政府采购支出情况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i w:val="0"/>
          <w:iCs w:val="0"/>
          <w:color w:val="auto"/>
          <w:kern w:val="0"/>
          <w:sz w:val="32"/>
          <w:szCs w:val="32"/>
        </w:rPr>
      </w:pPr>
      <w:r>
        <w:rPr>
          <w:rFonts w:hint="default" w:ascii="Times New Roman" w:hAnsi="Times New Roman" w:eastAsia="仿宋_GB2312" w:cs="Times New Roman"/>
          <w:i w:val="0"/>
          <w:iCs w:val="0"/>
          <w:color w:val="auto"/>
          <w:kern w:val="0"/>
          <w:sz w:val="32"/>
          <w:szCs w:val="32"/>
        </w:rPr>
        <w:t>本部门2019年度政府采购支出总额</w:t>
      </w:r>
      <w:r>
        <w:rPr>
          <w:rFonts w:hint="eastAsia" w:ascii="Times New Roman" w:hAnsi="Times New Roman" w:eastAsia="仿宋_GB2312" w:cs="Times New Roman"/>
          <w:i w:val="0"/>
          <w:iCs w:val="0"/>
          <w:color w:val="auto"/>
          <w:kern w:val="0"/>
          <w:sz w:val="32"/>
          <w:szCs w:val="32"/>
          <w:lang w:val="en-US" w:eastAsia="zh-CN"/>
        </w:rPr>
        <w:t>154.16</w:t>
      </w:r>
      <w:r>
        <w:rPr>
          <w:rFonts w:hint="default" w:ascii="Times New Roman" w:hAnsi="Times New Roman" w:eastAsia="仿宋_GB2312" w:cs="Times New Roman"/>
          <w:i w:val="0"/>
          <w:iCs w:val="0"/>
          <w:color w:val="auto"/>
          <w:kern w:val="0"/>
          <w:sz w:val="32"/>
          <w:szCs w:val="32"/>
        </w:rPr>
        <w:t>万元，其中：政府采购货物支出</w:t>
      </w:r>
      <w:r>
        <w:rPr>
          <w:rFonts w:hint="eastAsia" w:ascii="Times New Roman" w:hAnsi="Times New Roman" w:eastAsia="仿宋_GB2312" w:cs="Times New Roman"/>
          <w:i w:val="0"/>
          <w:iCs w:val="0"/>
          <w:color w:val="auto"/>
          <w:kern w:val="0"/>
          <w:sz w:val="32"/>
          <w:szCs w:val="32"/>
          <w:lang w:val="en-US" w:eastAsia="zh-CN"/>
        </w:rPr>
        <w:t>38.54</w:t>
      </w:r>
      <w:r>
        <w:rPr>
          <w:rFonts w:hint="default" w:ascii="Times New Roman" w:hAnsi="Times New Roman" w:eastAsia="仿宋_GB2312" w:cs="Times New Roman"/>
          <w:i w:val="0"/>
          <w:iCs w:val="0"/>
          <w:color w:val="auto"/>
          <w:kern w:val="0"/>
          <w:sz w:val="32"/>
          <w:szCs w:val="32"/>
        </w:rPr>
        <w:t>万元、政府采购工程支出</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万元、政府采购服务支出</w:t>
      </w:r>
      <w:r>
        <w:rPr>
          <w:rFonts w:hint="eastAsia" w:ascii="Times New Roman" w:hAnsi="Times New Roman" w:eastAsia="仿宋_GB2312" w:cs="Times New Roman"/>
          <w:i w:val="0"/>
          <w:iCs w:val="0"/>
          <w:color w:val="auto"/>
          <w:kern w:val="0"/>
          <w:sz w:val="32"/>
          <w:szCs w:val="32"/>
          <w:lang w:val="en-US" w:eastAsia="zh-CN"/>
        </w:rPr>
        <w:t>115.62</w:t>
      </w:r>
      <w:r>
        <w:rPr>
          <w:rFonts w:hint="default" w:ascii="Times New Roman" w:hAnsi="Times New Roman" w:eastAsia="仿宋_GB2312" w:cs="Times New Roman"/>
          <w:i w:val="0"/>
          <w:iCs w:val="0"/>
          <w:color w:val="auto"/>
          <w:kern w:val="0"/>
          <w:sz w:val="32"/>
          <w:szCs w:val="32"/>
        </w:rPr>
        <w:t>万元。授予中小企业合同金额</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万元，占政府采购支出总额的</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%，其中：授予小微企业合同金额</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万元，占政府采购支出总额的</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w:t>
      </w:r>
    </w:p>
    <w:p>
      <w:pPr>
        <w:pStyle w:val="11"/>
        <w:keepNext w:val="0"/>
        <w:keepLines w:val="0"/>
        <w:pageBreakBefore w:val="0"/>
        <w:widowControl w:val="0"/>
        <w:kinsoku/>
        <w:wordWrap/>
        <w:overflowPunct/>
        <w:topLinePunct w:val="0"/>
        <w:bidi w:val="0"/>
        <w:snapToGrid/>
        <w:spacing w:line="600" w:lineRule="exact"/>
        <w:ind w:firstLine="643" w:firstLineChars="200"/>
        <w:textAlignment w:val="auto"/>
        <w:rPr>
          <w:rFonts w:hint="default" w:ascii="Times New Roman" w:hAnsi="Times New Roman" w:eastAsia="楷体_GB2312" w:cs="Times New Roman"/>
          <w:b/>
          <w:i w:val="0"/>
          <w:iCs w:val="0"/>
          <w:color w:val="auto"/>
          <w:sz w:val="32"/>
          <w:szCs w:val="32"/>
        </w:rPr>
      </w:pPr>
      <w:r>
        <w:rPr>
          <w:rFonts w:hint="default" w:ascii="Times New Roman" w:hAnsi="Times New Roman" w:eastAsia="楷体_GB2312" w:cs="Times New Roman"/>
          <w:b/>
          <w:i w:val="0"/>
          <w:iCs w:val="0"/>
          <w:color w:val="auto"/>
          <w:sz w:val="32"/>
          <w:szCs w:val="32"/>
        </w:rPr>
        <w:t>（四）国有资产占用情况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i w:val="0"/>
          <w:iCs w:val="0"/>
          <w:color w:val="auto"/>
          <w:kern w:val="0"/>
          <w:sz w:val="32"/>
          <w:szCs w:val="32"/>
        </w:rPr>
      </w:pPr>
      <w:r>
        <w:rPr>
          <w:rFonts w:hint="default" w:ascii="Times New Roman" w:hAnsi="Times New Roman" w:eastAsia="仿宋_GB2312" w:cs="Times New Roman"/>
          <w:i w:val="0"/>
          <w:iCs w:val="0"/>
          <w:color w:val="auto"/>
          <w:kern w:val="0"/>
          <w:sz w:val="32"/>
          <w:szCs w:val="32"/>
        </w:rPr>
        <w:t>截至2019年12月31日，本单位共有车辆</w:t>
      </w:r>
      <w:r>
        <w:rPr>
          <w:rFonts w:hint="eastAsia" w:ascii="Times New Roman" w:hAnsi="Times New Roman" w:eastAsia="仿宋_GB2312" w:cs="Times New Roman"/>
          <w:i w:val="0"/>
          <w:iCs w:val="0"/>
          <w:color w:val="auto"/>
          <w:kern w:val="0"/>
          <w:sz w:val="32"/>
          <w:szCs w:val="32"/>
          <w:lang w:val="en-US" w:eastAsia="zh-CN"/>
        </w:rPr>
        <w:t>12</w:t>
      </w:r>
      <w:r>
        <w:rPr>
          <w:rFonts w:hint="default" w:ascii="Times New Roman" w:hAnsi="Times New Roman" w:eastAsia="仿宋_GB2312" w:cs="Times New Roman"/>
          <w:i w:val="0"/>
          <w:iCs w:val="0"/>
          <w:color w:val="auto"/>
          <w:kern w:val="0"/>
          <w:sz w:val="32"/>
          <w:szCs w:val="32"/>
        </w:rPr>
        <w:t>辆，其中，领导干部用车</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辆、机要通信用车</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辆、应急保障用车</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辆、执法执勤用车</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辆、特种专业技术用车</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辆、</w:t>
      </w:r>
      <w:r>
        <w:rPr>
          <w:rFonts w:hint="eastAsia" w:ascii="Times New Roman" w:hAnsi="Times New Roman" w:eastAsia="仿宋_GB2312" w:cs="Times New Roman"/>
          <w:i w:val="0"/>
          <w:iCs w:val="0"/>
          <w:color w:val="auto"/>
          <w:kern w:val="0"/>
          <w:sz w:val="32"/>
          <w:szCs w:val="32"/>
        </w:rPr>
        <w:t>一般公务用车2 辆、其他用车10辆，其他用车主要是电动车和巡逻车；</w:t>
      </w:r>
      <w:r>
        <w:rPr>
          <w:rFonts w:hint="default" w:ascii="Times New Roman" w:hAnsi="Times New Roman" w:eastAsia="仿宋_GB2312" w:cs="Times New Roman"/>
          <w:i w:val="0"/>
          <w:iCs w:val="0"/>
          <w:color w:val="auto"/>
          <w:kern w:val="0"/>
          <w:sz w:val="32"/>
          <w:szCs w:val="32"/>
        </w:rPr>
        <w:t>单位价值50万元以上通用设备</w:t>
      </w:r>
      <w:r>
        <w:rPr>
          <w:rFonts w:hint="eastAsia" w:ascii="Times New Roman" w:hAnsi="Times New Roman" w:eastAsia="仿宋_GB2312" w:cs="Times New Roman"/>
          <w:i w:val="0"/>
          <w:iCs w:val="0"/>
          <w:color w:val="auto"/>
          <w:kern w:val="0"/>
          <w:sz w:val="32"/>
          <w:szCs w:val="32"/>
          <w:lang w:val="en-US" w:eastAsia="zh-CN"/>
        </w:rPr>
        <w:t>2</w:t>
      </w:r>
      <w:r>
        <w:rPr>
          <w:rFonts w:hint="default" w:ascii="Times New Roman" w:hAnsi="Times New Roman" w:eastAsia="仿宋_GB2312" w:cs="Times New Roman"/>
          <w:i w:val="0"/>
          <w:iCs w:val="0"/>
          <w:color w:val="auto"/>
          <w:kern w:val="0"/>
          <w:sz w:val="32"/>
          <w:szCs w:val="32"/>
        </w:rPr>
        <w:t>台（套）；单位价值100万元以上专用设备</w:t>
      </w:r>
      <w:r>
        <w:rPr>
          <w:rFonts w:hint="eastAsia" w:ascii="Times New Roman" w:hAnsi="Times New Roman" w:eastAsia="仿宋_GB2312" w:cs="Times New Roman"/>
          <w:i w:val="0"/>
          <w:iCs w:val="0"/>
          <w:color w:val="auto"/>
          <w:kern w:val="0"/>
          <w:sz w:val="32"/>
          <w:szCs w:val="32"/>
          <w:lang w:val="en-US" w:eastAsia="zh-CN"/>
        </w:rPr>
        <w:t>0</w:t>
      </w:r>
      <w:r>
        <w:rPr>
          <w:rFonts w:hint="default" w:ascii="Times New Roman" w:hAnsi="Times New Roman" w:eastAsia="仿宋_GB2312" w:cs="Times New Roman"/>
          <w:i w:val="0"/>
          <w:iCs w:val="0"/>
          <w:color w:val="auto"/>
          <w:kern w:val="0"/>
          <w:sz w:val="32"/>
          <w:szCs w:val="32"/>
        </w:rPr>
        <w:t>台（套）。</w:t>
      </w:r>
    </w:p>
    <w:p>
      <w:pPr>
        <w:widowControl/>
        <w:jc w:val="left"/>
        <w:rPr>
          <w:rFonts w:hint="default" w:ascii="Times New Roman" w:hAnsi="Times New Roman" w:cs="Times New Roman"/>
          <w:color w:val="auto"/>
          <w:kern w:val="0"/>
          <w:sz w:val="32"/>
          <w:szCs w:val="32"/>
        </w:rPr>
      </w:pPr>
      <w:r>
        <w:rPr>
          <w:rFonts w:hint="default" w:ascii="Times New Roman" w:hAnsi="Times New Roman" w:cs="Times New Roman"/>
          <w:color w:val="auto"/>
          <w:kern w:val="0"/>
          <w:sz w:val="32"/>
          <w:szCs w:val="32"/>
        </w:rPr>
        <w:br w:type="page"/>
      </w:r>
    </w:p>
    <w:p>
      <w:pPr>
        <w:pStyle w:val="11"/>
        <w:jc w:val="center"/>
        <w:rPr>
          <w:rFonts w:hint="default" w:ascii="Times New Roman" w:hAnsi="Times New Roman" w:eastAsia="方正大标宋简体" w:cs="Times New Roman"/>
          <w:color w:val="auto"/>
          <w:sz w:val="36"/>
          <w:szCs w:val="36"/>
        </w:rPr>
      </w:pPr>
      <w:r>
        <w:rPr>
          <w:rFonts w:hint="default" w:ascii="Times New Roman" w:hAnsi="Times New Roman" w:eastAsia="方正大标宋简体" w:cs="Times New Roman"/>
          <w:color w:val="auto"/>
          <w:sz w:val="36"/>
          <w:szCs w:val="36"/>
        </w:rPr>
        <w:t>第四部分</w:t>
      </w:r>
      <w:r>
        <w:rPr>
          <w:rFonts w:hint="default" w:ascii="Times New Roman" w:hAnsi="Times New Roman" w:eastAsia="方正大标宋简体" w:cs="Times New Roman"/>
          <w:color w:val="auto"/>
          <w:sz w:val="36"/>
          <w:szCs w:val="36"/>
          <w:lang w:val="en-US" w:eastAsia="zh-CN"/>
        </w:rPr>
        <w:t>　</w:t>
      </w:r>
      <w:r>
        <w:rPr>
          <w:rFonts w:hint="default" w:ascii="Times New Roman" w:hAnsi="Times New Roman" w:eastAsia="方正大标宋简体" w:cs="Times New Roman"/>
          <w:color w:val="auto"/>
          <w:sz w:val="36"/>
          <w:szCs w:val="36"/>
        </w:rPr>
        <w:t>名词解释</w:t>
      </w:r>
    </w:p>
    <w:p>
      <w:pPr>
        <w:pStyle w:val="11"/>
        <w:jc w:val="both"/>
        <w:rPr>
          <w:rFonts w:hint="eastAsia" w:ascii="仿宋" w:hAnsi="仿宋" w:eastAsia="仿宋" w:cs="仿宋"/>
          <w:sz w:val="32"/>
          <w:szCs w:val="32"/>
        </w:rPr>
      </w:pPr>
      <w:r>
        <w:rPr>
          <w:rFonts w:hint="eastAsia" w:ascii="楷体" w:hAnsi="楷体" w:eastAsia="楷体" w:cs="楷体"/>
          <w:sz w:val="32"/>
          <w:szCs w:val="32"/>
        </w:rPr>
        <w:t>（一）一般公共预算拨款收入</w:t>
      </w:r>
      <w:r>
        <w:rPr>
          <w:rFonts w:hint="eastAsia" w:ascii="仿宋" w:hAnsi="仿宋" w:eastAsia="仿宋" w:cs="仿宋"/>
          <w:sz w:val="32"/>
          <w:szCs w:val="32"/>
        </w:rPr>
        <w:t>：指开福区财政当年拨付的资金。</w:t>
      </w:r>
    </w:p>
    <w:p>
      <w:pPr>
        <w:autoSpaceDE w:val="0"/>
        <w:autoSpaceDN w:val="0"/>
        <w:adjustRightInd w:val="0"/>
        <w:jc w:val="left"/>
        <w:rPr>
          <w:rFonts w:hint="eastAsia" w:ascii="仿宋" w:hAnsi="仿宋" w:eastAsia="仿宋" w:cs="仿宋"/>
          <w:sz w:val="32"/>
          <w:szCs w:val="32"/>
        </w:rPr>
      </w:pPr>
      <w:r>
        <w:rPr>
          <w:rFonts w:hint="eastAsia" w:ascii="楷体" w:hAnsi="楷体" w:eastAsia="楷体" w:cs="楷体"/>
          <w:sz w:val="32"/>
          <w:szCs w:val="32"/>
        </w:rPr>
        <w:t>（二）基本支出</w:t>
      </w:r>
      <w:r>
        <w:rPr>
          <w:rFonts w:hint="eastAsia" w:ascii="仿宋" w:hAnsi="仿宋" w:eastAsia="仿宋" w:cs="仿宋"/>
          <w:sz w:val="32"/>
          <w:szCs w:val="32"/>
        </w:rPr>
        <w:t>：指为保障机构正常运转、完成日常工作任务而发生的人员支出和公用支出。</w:t>
      </w:r>
    </w:p>
    <w:p>
      <w:pPr>
        <w:autoSpaceDE w:val="0"/>
        <w:autoSpaceDN w:val="0"/>
        <w:adjustRightInd w:val="0"/>
        <w:jc w:val="left"/>
        <w:rPr>
          <w:rFonts w:hint="eastAsia" w:ascii="仿宋" w:hAnsi="仿宋" w:eastAsia="仿宋" w:cs="仿宋"/>
          <w:sz w:val="32"/>
          <w:szCs w:val="32"/>
        </w:rPr>
      </w:pPr>
      <w:r>
        <w:rPr>
          <w:rFonts w:hint="eastAsia" w:ascii="楷体" w:hAnsi="楷体" w:eastAsia="楷体" w:cs="楷体"/>
          <w:sz w:val="32"/>
          <w:szCs w:val="32"/>
        </w:rPr>
        <w:t>（三）项目支出</w:t>
      </w:r>
      <w:r>
        <w:rPr>
          <w:rFonts w:hint="eastAsia" w:ascii="仿宋" w:hAnsi="仿宋" w:eastAsia="仿宋" w:cs="仿宋"/>
          <w:sz w:val="32"/>
          <w:szCs w:val="32"/>
        </w:rPr>
        <w:t>：指在基本支出之外为完成特定行政任务和事业发展目标所发生的支出。</w:t>
      </w:r>
    </w:p>
    <w:p>
      <w:pPr>
        <w:autoSpaceDE w:val="0"/>
        <w:autoSpaceDN w:val="0"/>
        <w:adjustRightInd w:val="0"/>
        <w:jc w:val="left"/>
        <w:rPr>
          <w:rFonts w:hint="eastAsia" w:ascii="仿宋" w:hAnsi="仿宋" w:eastAsia="仿宋" w:cs="仿宋"/>
          <w:sz w:val="32"/>
          <w:szCs w:val="32"/>
        </w:rPr>
      </w:pPr>
      <w:r>
        <w:rPr>
          <w:rFonts w:hint="eastAsia" w:ascii="楷体" w:hAnsi="楷体" w:eastAsia="楷体" w:cs="楷体"/>
          <w:sz w:val="32"/>
          <w:szCs w:val="32"/>
        </w:rPr>
        <w:t>（四）“三公”经费</w:t>
      </w:r>
      <w:r>
        <w:rPr>
          <w:rFonts w:hint="eastAsia" w:ascii="仿宋" w:hAnsi="仿宋" w:eastAsia="仿宋" w:cs="仿宋"/>
          <w:sz w:val="32"/>
          <w:szCs w:val="32"/>
        </w:rPr>
        <w:t>：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jc w:val="left"/>
        <w:rPr>
          <w:rFonts w:hint="eastAsia" w:ascii="仿宋" w:hAnsi="仿宋" w:eastAsia="仿宋" w:cs="仿宋"/>
          <w:sz w:val="32"/>
          <w:szCs w:val="32"/>
        </w:rPr>
      </w:pPr>
      <w:r>
        <w:rPr>
          <w:rFonts w:hint="eastAsia" w:ascii="楷体" w:hAnsi="楷体" w:eastAsia="楷体" w:cs="楷体"/>
          <w:sz w:val="32"/>
          <w:szCs w:val="32"/>
        </w:rPr>
        <w:t>（五）机关运行经费</w:t>
      </w:r>
      <w:r>
        <w:rPr>
          <w:rFonts w:hint="eastAsia" w:ascii="仿宋" w:hAnsi="仿宋" w:eastAsia="仿宋" w:cs="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i/>
          <w:color w:val="auto"/>
          <w:sz w:val="32"/>
          <w:szCs w:val="32"/>
        </w:rPr>
      </w:pPr>
      <w:r>
        <w:rPr>
          <w:rFonts w:hint="default" w:ascii="Times New Roman" w:hAnsi="Times New Roman" w:cs="Times New Roman"/>
          <w:i/>
          <w:color w:val="auto"/>
          <w:sz w:val="32"/>
          <w:szCs w:val="32"/>
        </w:rPr>
        <w:br w:type="page"/>
      </w:r>
    </w:p>
    <w:p>
      <w:pPr>
        <w:pStyle w:val="11"/>
        <w:jc w:val="center"/>
        <w:rPr>
          <w:rFonts w:hint="default" w:ascii="Times New Roman" w:hAnsi="Times New Roman" w:eastAsia="方正大标宋简体" w:cs="Times New Roman"/>
          <w:color w:val="auto"/>
          <w:sz w:val="36"/>
          <w:szCs w:val="36"/>
        </w:rPr>
      </w:pPr>
      <w:r>
        <w:rPr>
          <w:rFonts w:hint="default" w:ascii="Times New Roman" w:hAnsi="Times New Roman" w:eastAsia="方正大标宋简体" w:cs="Times New Roman"/>
          <w:color w:val="auto"/>
          <w:sz w:val="36"/>
          <w:szCs w:val="36"/>
        </w:rPr>
        <w:t>第五部分</w:t>
      </w:r>
      <w:r>
        <w:rPr>
          <w:rFonts w:hint="default" w:ascii="Times New Roman" w:hAnsi="Times New Roman" w:eastAsia="方正大标宋简体" w:cs="Times New Roman"/>
          <w:color w:val="auto"/>
          <w:sz w:val="36"/>
          <w:szCs w:val="36"/>
          <w:lang w:eastAsia="zh-CN"/>
        </w:rPr>
        <w:t>　</w:t>
      </w:r>
      <w:r>
        <w:rPr>
          <w:rFonts w:hint="default" w:ascii="Times New Roman" w:hAnsi="Times New Roman" w:eastAsia="方正大标宋简体" w:cs="Times New Roman"/>
          <w:color w:val="auto"/>
          <w:sz w:val="36"/>
          <w:szCs w:val="36"/>
        </w:rPr>
        <w:t>附</w:t>
      </w:r>
      <w:r>
        <w:rPr>
          <w:rFonts w:hint="default" w:ascii="Times New Roman" w:hAnsi="Times New Roman" w:eastAsia="方正大标宋简体" w:cs="Times New Roman"/>
          <w:color w:val="auto"/>
          <w:sz w:val="36"/>
          <w:szCs w:val="36"/>
          <w:lang w:eastAsia="zh-CN"/>
        </w:rPr>
        <w:t>　</w:t>
      </w:r>
      <w:r>
        <w:rPr>
          <w:rFonts w:hint="default" w:ascii="Times New Roman" w:hAnsi="Times New Roman" w:eastAsia="方正大标宋简体" w:cs="Times New Roman"/>
          <w:color w:val="auto"/>
          <w:sz w:val="36"/>
          <w:szCs w:val="36"/>
        </w:rPr>
        <w:t>件</w:t>
      </w:r>
    </w:p>
    <w:p>
      <w:pPr>
        <w:widowControl/>
        <w:jc w:val="left"/>
        <w:rPr>
          <w:rFonts w:hint="eastAsia" w:ascii="楷体" w:hAnsi="楷体" w:eastAsia="楷体" w:cs="楷体"/>
          <w:sz w:val="36"/>
          <w:szCs w:val="36"/>
        </w:rPr>
      </w:pPr>
      <w:r>
        <w:rPr>
          <w:rFonts w:hint="eastAsia" w:ascii="楷体" w:hAnsi="楷体" w:eastAsia="楷体" w:cs="楷体"/>
          <w:b w:val="0"/>
          <w:bCs w:val="0"/>
          <w:color w:val="000000"/>
          <w:sz w:val="36"/>
          <w:szCs w:val="36"/>
          <w:lang w:val="en-US" w:eastAsia="zh-CN"/>
        </w:rPr>
        <w:t>2019年度部门整体</w:t>
      </w:r>
      <w:r>
        <w:rPr>
          <w:rFonts w:hint="eastAsia" w:ascii="楷体" w:hAnsi="楷体" w:eastAsia="楷体" w:cs="楷体"/>
          <w:b w:val="0"/>
          <w:bCs w:val="0"/>
          <w:color w:val="000000"/>
          <w:sz w:val="36"/>
          <w:szCs w:val="36"/>
        </w:rPr>
        <w:t>支出绩效评价报告</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一、项目概况</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（一）项目单位基本情况。</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1、长沙市苗圃（长沙园林生态园）是</w:t>
      </w:r>
      <w:r>
        <w:rPr>
          <w:rFonts w:hint="eastAsia" w:ascii="仿宋" w:hAnsi="仿宋" w:eastAsia="仿宋" w:cs="仿宋"/>
          <w:sz w:val="30"/>
          <w:szCs w:val="30"/>
          <w:lang w:eastAsia="zh-CN"/>
        </w:rPr>
        <w:t>开福区直属</w:t>
      </w:r>
      <w:r>
        <w:rPr>
          <w:rFonts w:hint="eastAsia" w:ascii="仿宋" w:hAnsi="仿宋" w:eastAsia="仿宋" w:cs="仿宋"/>
          <w:sz w:val="30"/>
          <w:szCs w:val="30"/>
        </w:rPr>
        <w:t>差额拨款事业单位</w:t>
      </w:r>
      <w:r>
        <w:rPr>
          <w:rFonts w:hint="eastAsia" w:ascii="仿宋" w:hAnsi="仿宋" w:eastAsia="仿宋" w:cs="仿宋"/>
          <w:sz w:val="30"/>
          <w:szCs w:val="30"/>
          <w:lang w:eastAsia="zh-CN"/>
        </w:rPr>
        <w:t>。</w:t>
      </w:r>
      <w:r>
        <w:rPr>
          <w:rFonts w:hint="eastAsia" w:ascii="仿宋" w:hAnsi="仿宋" w:eastAsia="仿宋" w:cs="仿宋"/>
          <w:sz w:val="30"/>
          <w:szCs w:val="30"/>
        </w:rPr>
        <w:t>主要职能：花卉苗木的科研生产与推广、花卉节会展览、园林绿化工程、生态休闲、旅游服务、会务接待、圃内设施的维护与管理。</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2．机构和人员情况。</w:t>
      </w:r>
    </w:p>
    <w:p>
      <w:pPr>
        <w:autoSpaceDE w:val="0"/>
        <w:autoSpaceDN w:val="0"/>
        <w:adjustRightInd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内设机构</w:t>
      </w:r>
      <w:r>
        <w:rPr>
          <w:rFonts w:hint="eastAsia" w:ascii="仿宋" w:hAnsi="仿宋" w:eastAsia="仿宋" w:cs="仿宋"/>
          <w:sz w:val="30"/>
          <w:szCs w:val="30"/>
          <w:lang w:val="en-US" w:eastAsia="zh-CN"/>
        </w:rPr>
        <w:t>7</w:t>
      </w:r>
      <w:r>
        <w:rPr>
          <w:rFonts w:hint="eastAsia" w:ascii="仿宋" w:hAnsi="仿宋" w:eastAsia="仿宋" w:cs="仿宋"/>
          <w:sz w:val="30"/>
          <w:szCs w:val="30"/>
        </w:rPr>
        <w:t>个：办公室、园林科、经营管理科、保卫科、财务科、人事科</w:t>
      </w:r>
      <w:r>
        <w:rPr>
          <w:rFonts w:hint="eastAsia" w:ascii="仿宋" w:hAnsi="仿宋" w:eastAsia="仿宋" w:cs="仿宋"/>
          <w:sz w:val="30"/>
          <w:szCs w:val="30"/>
          <w:lang w:eastAsia="zh-CN"/>
        </w:rPr>
        <w:t>、纪检监察室</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二、项目资金使用及管理情况</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（一）项目资金安排落实、总投入等情况分析。</w:t>
      </w:r>
    </w:p>
    <w:p>
      <w:pPr>
        <w:autoSpaceDE w:val="0"/>
        <w:autoSpaceDN w:val="0"/>
        <w:adjustRightInd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我单位资金总投入</w:t>
      </w:r>
      <w:r>
        <w:rPr>
          <w:rFonts w:hint="eastAsia" w:ascii="仿宋" w:hAnsi="仿宋" w:eastAsia="仿宋" w:cs="仿宋"/>
          <w:sz w:val="30"/>
          <w:szCs w:val="30"/>
        </w:rPr>
        <w:t>共计</w:t>
      </w:r>
      <w:r>
        <w:rPr>
          <w:rFonts w:hint="eastAsia" w:ascii="仿宋" w:hAnsi="仿宋" w:eastAsia="仿宋" w:cs="仿宋"/>
          <w:sz w:val="30"/>
          <w:szCs w:val="30"/>
          <w:lang w:val="en-US" w:eastAsia="zh-CN"/>
        </w:rPr>
        <w:t>2560.41</w:t>
      </w:r>
      <w:r>
        <w:rPr>
          <w:rFonts w:hint="eastAsia" w:ascii="仿宋" w:hAnsi="仿宋" w:eastAsia="仿宋" w:cs="仿宋"/>
          <w:sz w:val="30"/>
          <w:szCs w:val="30"/>
        </w:rPr>
        <w:t>万元</w:t>
      </w:r>
      <w:r>
        <w:rPr>
          <w:rFonts w:hint="eastAsia" w:ascii="仿宋" w:hAnsi="仿宋" w:eastAsia="仿宋" w:cs="仿宋"/>
          <w:sz w:val="30"/>
          <w:szCs w:val="30"/>
          <w:lang w:eastAsia="zh-CN"/>
        </w:rPr>
        <w:t>，全部为区级财政拨款，所有资金均用于公园正常运转支出，资金使用率达到</w:t>
      </w:r>
      <w:r>
        <w:rPr>
          <w:rFonts w:hint="eastAsia" w:ascii="仿宋" w:hAnsi="仿宋" w:eastAsia="仿宋" w:cs="仿宋"/>
          <w:sz w:val="30"/>
          <w:szCs w:val="30"/>
          <w:lang w:val="en-US" w:eastAsia="zh-CN"/>
        </w:rPr>
        <w:t>100%，防止挤占挪用及截留项目资金的情况。</w:t>
      </w:r>
    </w:p>
    <w:p>
      <w:pPr>
        <w:autoSpaceDE w:val="0"/>
        <w:autoSpaceDN w:val="0"/>
        <w:adjustRightInd w:val="0"/>
        <w:jc w:val="left"/>
        <w:rPr>
          <w:rFonts w:hint="eastAsia" w:ascii="仿宋" w:hAnsi="仿宋" w:eastAsia="仿宋" w:cs="仿宋"/>
          <w:sz w:val="30"/>
          <w:szCs w:val="30"/>
        </w:rPr>
      </w:pPr>
      <w:r>
        <w:rPr>
          <w:rFonts w:hint="eastAsia" w:ascii="楷体" w:hAnsi="楷体" w:eastAsia="楷体" w:cs="楷体"/>
          <w:sz w:val="32"/>
          <w:szCs w:val="32"/>
        </w:rPr>
        <w:t>（二）项目资金实际使用情况分析。</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该项目截止至201</w:t>
      </w:r>
      <w:r>
        <w:rPr>
          <w:rFonts w:hint="eastAsia" w:ascii="仿宋" w:hAnsi="仿宋" w:eastAsia="仿宋" w:cs="仿宋"/>
          <w:sz w:val="30"/>
          <w:szCs w:val="30"/>
          <w:lang w:val="en-US" w:eastAsia="zh-CN"/>
        </w:rPr>
        <w:t>9</w:t>
      </w:r>
      <w:r>
        <w:rPr>
          <w:rFonts w:hint="eastAsia" w:ascii="仿宋" w:hAnsi="仿宋" w:eastAsia="仿宋" w:cs="仿宋"/>
          <w:sz w:val="30"/>
          <w:szCs w:val="30"/>
        </w:rPr>
        <w:t>年12月底累计使用资金</w:t>
      </w:r>
      <w:r>
        <w:rPr>
          <w:rFonts w:hint="eastAsia" w:ascii="仿宋" w:hAnsi="仿宋" w:eastAsia="仿宋" w:cs="仿宋"/>
          <w:sz w:val="30"/>
          <w:szCs w:val="30"/>
          <w:lang w:val="en-US" w:eastAsia="zh-CN"/>
        </w:rPr>
        <w:t>2560.41万</w:t>
      </w:r>
      <w:r>
        <w:rPr>
          <w:rFonts w:hint="eastAsia" w:ascii="仿宋" w:hAnsi="仿宋" w:eastAsia="仿宋" w:cs="仿宋"/>
          <w:sz w:val="30"/>
          <w:szCs w:val="30"/>
        </w:rPr>
        <w:t>元。具体为商品和服务支出</w:t>
      </w:r>
      <w:r>
        <w:rPr>
          <w:rFonts w:hint="eastAsia" w:ascii="仿宋" w:hAnsi="仿宋" w:eastAsia="仿宋" w:cs="仿宋"/>
          <w:sz w:val="30"/>
          <w:szCs w:val="30"/>
          <w:lang w:val="en-US" w:eastAsia="zh-CN"/>
        </w:rPr>
        <w:t>575.59万</w:t>
      </w:r>
      <w:r>
        <w:rPr>
          <w:rFonts w:hint="eastAsia" w:ascii="仿宋" w:hAnsi="仿宋" w:eastAsia="仿宋" w:cs="仿宋"/>
          <w:sz w:val="30"/>
          <w:szCs w:val="30"/>
        </w:rPr>
        <w:t>元；工资和福利支出</w:t>
      </w:r>
      <w:r>
        <w:rPr>
          <w:rFonts w:hint="eastAsia" w:ascii="仿宋" w:hAnsi="仿宋" w:eastAsia="仿宋" w:cs="仿宋"/>
          <w:sz w:val="30"/>
          <w:szCs w:val="30"/>
          <w:lang w:val="en-US" w:eastAsia="zh-CN"/>
        </w:rPr>
        <w:t>1776.22万</w:t>
      </w:r>
      <w:r>
        <w:rPr>
          <w:rFonts w:hint="eastAsia" w:ascii="仿宋" w:hAnsi="仿宋" w:eastAsia="仿宋" w:cs="仿宋"/>
          <w:sz w:val="30"/>
          <w:szCs w:val="30"/>
        </w:rPr>
        <w:t>元；对个人和家庭的补助支出</w:t>
      </w:r>
      <w:r>
        <w:rPr>
          <w:rFonts w:hint="eastAsia" w:ascii="仿宋" w:hAnsi="仿宋" w:eastAsia="仿宋" w:cs="仿宋"/>
          <w:sz w:val="30"/>
          <w:szCs w:val="30"/>
          <w:lang w:val="en-US" w:eastAsia="zh-CN"/>
        </w:rPr>
        <w:t>198.32万元;资本性支出10.28万元</w:t>
      </w:r>
      <w:r>
        <w:rPr>
          <w:rFonts w:hint="eastAsia" w:ascii="仿宋" w:hAnsi="仿宋" w:eastAsia="仿宋" w:cs="仿宋"/>
          <w:sz w:val="30"/>
          <w:szCs w:val="30"/>
        </w:rPr>
        <w:t>。</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（三）项目资金管理情况分析。</w:t>
      </w:r>
    </w:p>
    <w:p>
      <w:pPr>
        <w:autoSpaceDE w:val="0"/>
        <w:autoSpaceDN w:val="0"/>
        <w:adjustRightInd w:val="0"/>
        <w:jc w:val="lef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我单位项目资金严格按照《长沙市公园园林绿化精细化管理技术导则》《中华人民共和国会计法》、《行政事业单位会计准则》、《会计基础规范》、《行政事业单位内部控制规范（试行）》、《长沙市苗圃（长沙园林生态园）财务管理制度》《国库集中支付制度》及</w:t>
      </w:r>
      <w:r>
        <w:rPr>
          <w:rFonts w:hint="eastAsia" w:ascii="仿宋" w:hAnsi="仿宋" w:eastAsia="仿宋" w:cs="仿宋"/>
          <w:sz w:val="30"/>
          <w:szCs w:val="30"/>
          <w:lang w:eastAsia="zh-CN"/>
        </w:rPr>
        <w:t>区</w:t>
      </w:r>
      <w:r>
        <w:rPr>
          <w:rFonts w:hint="eastAsia" w:ascii="仿宋" w:hAnsi="仿宋" w:eastAsia="仿宋" w:cs="仿宋"/>
          <w:sz w:val="30"/>
          <w:szCs w:val="30"/>
        </w:rPr>
        <w:t>财政相关文件、制度进行审批支付。资金使用严格审批程序，使用规范，会计核算结果真实、准确。单位建立健全各项财务管理制度和会计核算制度，此次绩效评价过程中未发现有截留、挤占或挪用该项目资金的情况。</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三、项目组织实施情况</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（一）项目组织情况分析。</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lang w:eastAsia="zh-CN"/>
        </w:rPr>
        <w:t>该</w:t>
      </w:r>
      <w:r>
        <w:rPr>
          <w:rFonts w:hint="eastAsia" w:ascii="仿宋" w:hAnsi="仿宋" w:eastAsia="仿宋" w:cs="仿宋"/>
          <w:sz w:val="30"/>
          <w:szCs w:val="30"/>
        </w:rPr>
        <w:t>项目为经常性项目，主要用途是用于公园日常</w:t>
      </w:r>
      <w:r>
        <w:rPr>
          <w:rFonts w:hint="eastAsia" w:ascii="仿宋" w:hAnsi="仿宋" w:eastAsia="仿宋" w:cs="仿宋"/>
          <w:sz w:val="30"/>
          <w:szCs w:val="30"/>
          <w:lang w:eastAsia="zh-CN"/>
        </w:rPr>
        <w:t>运转</w:t>
      </w:r>
      <w:r>
        <w:rPr>
          <w:rFonts w:hint="eastAsia" w:ascii="仿宋" w:hAnsi="仿宋" w:eastAsia="仿宋" w:cs="仿宋"/>
          <w:sz w:val="30"/>
          <w:szCs w:val="30"/>
        </w:rPr>
        <w:t>经费。在保障公园日常工作正常开展的情况下，我们本着</w:t>
      </w:r>
      <w:r>
        <w:rPr>
          <w:rFonts w:hint="eastAsia" w:ascii="仿宋" w:hAnsi="仿宋" w:eastAsia="仿宋" w:cs="仿宋"/>
          <w:sz w:val="30"/>
          <w:szCs w:val="30"/>
          <w:lang w:eastAsia="zh-CN"/>
        </w:rPr>
        <w:t>厉行节约</w:t>
      </w:r>
      <w:r>
        <w:rPr>
          <w:rFonts w:hint="eastAsia" w:ascii="仿宋" w:hAnsi="仿宋" w:eastAsia="仿宋" w:cs="仿宋"/>
          <w:sz w:val="30"/>
          <w:szCs w:val="30"/>
        </w:rPr>
        <w:t>、量入为出的原则，严格资金使用，把钱花在刀刃上。并不断积极开拓市场，增加创收资金用于弥补公园维护经费的不足。确保了公园各项工作的正常开展，并圆满完成了201</w:t>
      </w:r>
      <w:r>
        <w:rPr>
          <w:rFonts w:hint="eastAsia" w:ascii="仿宋" w:hAnsi="仿宋" w:eastAsia="仿宋" w:cs="仿宋"/>
          <w:sz w:val="30"/>
          <w:szCs w:val="30"/>
          <w:lang w:val="en-US" w:eastAsia="zh-CN"/>
        </w:rPr>
        <w:t>9</w:t>
      </w:r>
      <w:r>
        <w:rPr>
          <w:rFonts w:hint="eastAsia" w:ascii="仿宋" w:hAnsi="仿宋" w:eastAsia="仿宋" w:cs="仿宋"/>
          <w:sz w:val="30"/>
          <w:szCs w:val="30"/>
        </w:rPr>
        <w:t>年的各项工作任务。</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项目管理情况分析。</w:t>
      </w:r>
    </w:p>
    <w:p>
      <w:pPr>
        <w:autoSpaceDE w:val="0"/>
        <w:autoSpaceDN w:val="0"/>
        <w:adjustRightInd w:val="0"/>
        <w:ind w:firstLine="600" w:firstLineChars="200"/>
        <w:jc w:val="left"/>
        <w:rPr>
          <w:rFonts w:hint="eastAsia" w:ascii="仿宋" w:hAnsi="仿宋" w:eastAsia="仿宋" w:cs="仿宋"/>
          <w:sz w:val="30"/>
          <w:szCs w:val="30"/>
          <w:lang w:val="zh-CN"/>
        </w:rPr>
      </w:pPr>
      <w:r>
        <w:rPr>
          <w:rFonts w:hint="eastAsia" w:ascii="仿宋" w:hAnsi="仿宋" w:eastAsia="仿宋" w:cs="仿宋"/>
          <w:sz w:val="30"/>
          <w:szCs w:val="30"/>
        </w:rPr>
        <w:t>我单位项目目标设定依据充分、明确、合理，项目实施、管理符合相关规定。项目实施过程中，根据资金及结合公园实际情况制定相应的措施，实现了项目管理与项目资金的有机结合。</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四、项目绩效情况</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（一）项目绩效目标完成情况分析。</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1. 项目的经济性分析</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本项目预算投资金额</w:t>
      </w:r>
      <w:r>
        <w:rPr>
          <w:rFonts w:hint="eastAsia" w:ascii="仿宋" w:hAnsi="仿宋" w:eastAsia="仿宋" w:cs="仿宋"/>
          <w:sz w:val="30"/>
          <w:szCs w:val="30"/>
          <w:lang w:val="en-US" w:eastAsia="zh-CN"/>
        </w:rPr>
        <w:t>2560.41</w:t>
      </w:r>
      <w:r>
        <w:rPr>
          <w:rFonts w:hint="eastAsia" w:ascii="仿宋" w:hAnsi="仿宋" w:eastAsia="仿宋" w:cs="仿宋"/>
          <w:sz w:val="30"/>
          <w:szCs w:val="30"/>
        </w:rPr>
        <w:t>万元，实际到位金额</w:t>
      </w:r>
      <w:r>
        <w:rPr>
          <w:rFonts w:hint="eastAsia" w:ascii="仿宋" w:hAnsi="仿宋" w:eastAsia="仿宋" w:cs="仿宋"/>
          <w:sz w:val="30"/>
          <w:szCs w:val="30"/>
          <w:lang w:val="en-US" w:eastAsia="zh-CN"/>
        </w:rPr>
        <w:t>2560.41</w:t>
      </w:r>
      <w:r>
        <w:rPr>
          <w:rFonts w:hint="eastAsia" w:ascii="仿宋" w:hAnsi="仿宋" w:eastAsia="仿宋" w:cs="仿宋"/>
          <w:sz w:val="30"/>
          <w:szCs w:val="30"/>
        </w:rPr>
        <w:t>万元，实际使用金额</w:t>
      </w:r>
      <w:r>
        <w:rPr>
          <w:rFonts w:hint="eastAsia" w:ascii="仿宋" w:hAnsi="仿宋" w:eastAsia="仿宋" w:cs="仿宋"/>
          <w:sz w:val="30"/>
          <w:szCs w:val="30"/>
          <w:lang w:val="en-US" w:eastAsia="zh-CN"/>
        </w:rPr>
        <w:t>2560.41</w:t>
      </w:r>
      <w:r>
        <w:rPr>
          <w:rFonts w:hint="eastAsia" w:ascii="仿宋" w:hAnsi="仿宋" w:eastAsia="仿宋" w:cs="仿宋"/>
          <w:sz w:val="30"/>
          <w:szCs w:val="30"/>
        </w:rPr>
        <w:t>万元，实际使用金额与预算金额</w:t>
      </w:r>
      <w:r>
        <w:rPr>
          <w:rFonts w:hint="eastAsia" w:ascii="仿宋" w:hAnsi="仿宋" w:eastAsia="仿宋" w:cs="仿宋"/>
          <w:sz w:val="30"/>
          <w:szCs w:val="30"/>
          <w:lang w:eastAsia="zh-CN"/>
        </w:rPr>
        <w:t>相等</w:t>
      </w:r>
      <w:r>
        <w:rPr>
          <w:rFonts w:hint="eastAsia" w:ascii="仿宋" w:hAnsi="仿宋" w:eastAsia="仿宋" w:cs="仿宋"/>
          <w:sz w:val="30"/>
          <w:szCs w:val="30"/>
        </w:rPr>
        <w:t>。</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2. 项目的效率性分析</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（1）项目的实施进度</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根据项目经费预算及项目年度运行情况，实施严格的项目资金管理。截</w:t>
      </w:r>
      <w:r>
        <w:rPr>
          <w:rFonts w:hint="eastAsia" w:ascii="仿宋" w:hAnsi="仿宋" w:eastAsia="仿宋" w:cs="仿宋"/>
          <w:sz w:val="30"/>
          <w:szCs w:val="30"/>
          <w:lang w:eastAsia="zh-CN"/>
        </w:rPr>
        <w:t>至</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年12月底项目已经全部实施完成，项目经费已支付100%。</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w:t>
      </w:r>
      <w:r>
        <w:rPr>
          <w:rFonts w:hint="eastAsia" w:ascii="楷体" w:hAnsi="楷体" w:eastAsia="楷体" w:cs="楷体"/>
          <w:sz w:val="32"/>
          <w:szCs w:val="32"/>
        </w:rPr>
        <w:t>项目完成质量</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单位根据公园日常维护运行方案，细化任务，合理配置资源，建立控制管理机制，规避风险，确保了公园年度内公园维护质量，201</w:t>
      </w:r>
      <w:r>
        <w:rPr>
          <w:rFonts w:hint="eastAsia" w:ascii="仿宋" w:hAnsi="仿宋" w:eastAsia="仿宋" w:cs="仿宋"/>
          <w:sz w:val="30"/>
          <w:szCs w:val="30"/>
          <w:lang w:val="en-US" w:eastAsia="zh-CN"/>
        </w:rPr>
        <w:t>9</w:t>
      </w:r>
      <w:r>
        <w:rPr>
          <w:rFonts w:hint="eastAsia" w:ascii="仿宋" w:hAnsi="仿宋" w:eastAsia="仿宋" w:cs="仿宋"/>
          <w:sz w:val="30"/>
          <w:szCs w:val="30"/>
        </w:rPr>
        <w:t>年度公园各项任务工作运行较好。</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3. 项目的效益性分析</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（1）项目预期目标完成程度</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本项目产出指标：长沙园林生态园在</w:t>
      </w:r>
      <w:r>
        <w:rPr>
          <w:rFonts w:hint="eastAsia" w:ascii="仿宋" w:hAnsi="仿宋" w:eastAsia="仿宋" w:cs="仿宋"/>
          <w:sz w:val="30"/>
          <w:szCs w:val="30"/>
          <w:lang w:eastAsia="zh-CN"/>
        </w:rPr>
        <w:t>区委区政府</w:t>
      </w:r>
      <w:r>
        <w:rPr>
          <w:rFonts w:hint="eastAsia" w:ascii="仿宋" w:hAnsi="仿宋" w:eastAsia="仿宋" w:cs="仿宋"/>
          <w:sz w:val="30"/>
          <w:szCs w:val="30"/>
        </w:rPr>
        <w:t>的领导下，认真贯彻落实党的十</w:t>
      </w:r>
      <w:r>
        <w:rPr>
          <w:rFonts w:hint="eastAsia" w:ascii="仿宋" w:hAnsi="仿宋" w:eastAsia="仿宋" w:cs="仿宋"/>
          <w:sz w:val="30"/>
          <w:szCs w:val="30"/>
          <w:lang w:eastAsia="zh-CN"/>
        </w:rPr>
        <w:t>九届三</w:t>
      </w:r>
      <w:r>
        <w:rPr>
          <w:rFonts w:hint="eastAsia" w:ascii="仿宋" w:hAnsi="仿宋" w:eastAsia="仿宋" w:cs="仿宋"/>
          <w:sz w:val="30"/>
          <w:szCs w:val="30"/>
        </w:rPr>
        <w:t>中、</w:t>
      </w:r>
      <w:r>
        <w:rPr>
          <w:rFonts w:hint="eastAsia" w:ascii="仿宋" w:hAnsi="仿宋" w:eastAsia="仿宋" w:cs="仿宋"/>
          <w:sz w:val="30"/>
          <w:szCs w:val="30"/>
          <w:lang w:eastAsia="zh-CN"/>
        </w:rPr>
        <w:t>四</w:t>
      </w:r>
      <w:r>
        <w:rPr>
          <w:rFonts w:hint="eastAsia" w:ascii="仿宋" w:hAnsi="仿宋" w:eastAsia="仿宋" w:cs="仿宋"/>
          <w:sz w:val="30"/>
          <w:szCs w:val="30"/>
        </w:rPr>
        <w:t>中全会精神，按照</w:t>
      </w:r>
      <w:r>
        <w:rPr>
          <w:rFonts w:hint="eastAsia" w:ascii="仿宋" w:hAnsi="仿宋" w:eastAsia="仿宋" w:cs="仿宋"/>
          <w:sz w:val="30"/>
          <w:szCs w:val="30"/>
          <w:lang w:eastAsia="zh-CN"/>
        </w:rPr>
        <w:t>区委区政府</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年中心任务和重点工作的部署要求，创新工作思路，注重强化实效，兢兢业业干事业、扎扎实实谋发展，各项工作目标任务有序推进。</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（一）抓基础设施，提升园区品质。</w:t>
      </w:r>
    </w:p>
    <w:p>
      <w:pPr>
        <w:autoSpaceDE w:val="0"/>
        <w:autoSpaceDN w:val="0"/>
        <w:adjustRightInd w:val="0"/>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通过对基础设施进行修复及更换，保障设施设备的美观与实用性，</w:t>
      </w:r>
      <w:r>
        <w:rPr>
          <w:rFonts w:hint="eastAsia" w:ascii="仿宋" w:hAnsi="仿宋" w:eastAsia="仿宋" w:cs="仿宋"/>
          <w:sz w:val="30"/>
          <w:szCs w:val="30"/>
        </w:rPr>
        <w:t>提升园区品质</w:t>
      </w:r>
      <w:r>
        <w:rPr>
          <w:rFonts w:hint="eastAsia" w:ascii="仿宋" w:hAnsi="仿宋" w:eastAsia="仿宋" w:cs="仿宋"/>
          <w:sz w:val="30"/>
          <w:szCs w:val="30"/>
          <w:lang w:eastAsia="zh-CN"/>
        </w:rPr>
        <w:t>，使其具有较好的社会效益和环境效益。美化园区游园环境的同时对生态环境无任何不良影响，也不会产生环境污染。在可持续影响方面，本项目充分利用资源，促进园林产业的可持续发展，实现生态的良性循环，达到入园游客满意度（</w:t>
      </w:r>
      <w:r>
        <w:rPr>
          <w:rFonts w:hint="eastAsia" w:ascii="仿宋" w:hAnsi="仿宋" w:eastAsia="仿宋" w:cs="仿宋"/>
          <w:sz w:val="30"/>
          <w:szCs w:val="30"/>
          <w:lang w:val="en-US" w:eastAsia="zh-CN"/>
        </w:rPr>
        <w:t>100</w:t>
      </w:r>
      <w:r>
        <w:rPr>
          <w:rFonts w:hint="eastAsia" w:ascii="仿宋" w:hAnsi="仿宋" w:eastAsia="仿宋" w:cs="仿宋"/>
          <w:sz w:val="30"/>
          <w:szCs w:val="30"/>
          <w:lang w:eastAsia="zh-CN"/>
        </w:rPr>
        <w:t>%）。</w:t>
      </w:r>
    </w:p>
    <w:p>
      <w:pPr>
        <w:autoSpaceDE w:val="0"/>
        <w:autoSpaceDN w:val="0"/>
        <w:adjustRightInd w:val="0"/>
        <w:jc w:val="left"/>
        <w:rPr>
          <w:rFonts w:hint="eastAsia" w:ascii="仿宋" w:hAnsi="仿宋" w:eastAsia="仿宋" w:cs="仿宋"/>
          <w:sz w:val="30"/>
          <w:szCs w:val="30"/>
        </w:rPr>
      </w:pPr>
      <w:r>
        <w:rPr>
          <w:rFonts w:hint="eastAsia" w:ascii="楷体" w:hAnsi="楷体" w:eastAsia="楷体" w:cs="楷体"/>
          <w:sz w:val="32"/>
          <w:szCs w:val="32"/>
        </w:rPr>
        <w:t>（二）抓园林绿化，提升景观效果。</w:t>
      </w:r>
    </w:p>
    <w:p>
      <w:pPr>
        <w:autoSpaceDE w:val="0"/>
        <w:autoSpaceDN w:val="0"/>
        <w:adjustRightInd w:val="0"/>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通过对生态园绿地进行专业化、标准化、规范化管养，提高其生态效益。同时探索园林绿地精细化管理模式，提高园林植物养护管理和技术水平，降低管养成本</w:t>
      </w:r>
      <w:r>
        <w:rPr>
          <w:rFonts w:hint="eastAsia" w:ascii="仿宋" w:hAnsi="仿宋" w:eastAsia="仿宋" w:cs="仿宋"/>
          <w:sz w:val="30"/>
          <w:szCs w:val="30"/>
          <w:lang w:eastAsia="zh-CN"/>
        </w:rPr>
        <w:t>。</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2、景观打造效果显著。</w:t>
      </w:r>
      <w:r>
        <w:rPr>
          <w:rFonts w:hint="eastAsia" w:ascii="仿宋" w:hAnsi="仿宋" w:eastAsia="仿宋" w:cs="仿宋"/>
          <w:sz w:val="30"/>
          <w:szCs w:val="30"/>
          <w:lang w:eastAsia="zh-CN"/>
        </w:rPr>
        <w:t>通过采用进口郁金香、风信子、洋水仙、葡萄风信子、番红花、大花葱、花贝母、花毛茛等球根花卉和其它配色花卉进行花海种植、花境种植、组合摆放种植、立体花坛组景的搭建等表现手法营造不同的景观环境效果，不断增添文化节浓厚的艺术气氛，满足市民游客游园需求，进一步提升生态园市场竞争力，为全体市民营造一个初春踏青、观赏休闲的好去处。</w:t>
      </w:r>
    </w:p>
    <w:p>
      <w:pPr>
        <w:autoSpaceDE w:val="0"/>
        <w:autoSpaceDN w:val="0"/>
        <w:adjustRightInd w:val="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）抓安全维稳，创建平安公园</w:t>
      </w:r>
    </w:p>
    <w:p>
      <w:pPr>
        <w:autoSpaceDE w:val="0"/>
        <w:autoSpaceDN w:val="0"/>
        <w:adjustRightInd w:val="0"/>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是共建共管保平安。今年以市民游客为对象开展共建共管工作，与园区周边的社区签订了生态园创建平安公园共建共管协议，有效地解决了不良现象。二是加强安全管理，确保园内游客、财产、行车、行人安全。三是加强入园车辆管理。加强入园车辆管理，严格限制车速，并在园内各主要游道设置限速禁停区域。四是强化节假日的安全管理。制定了安全管理制度，加强安全巡查力度，建立了“定线巡逻、定点打卡、定时查岗”的巡园制度，每天三次巡逻，全年消除安全隐患15起，劝导不良现象100多起。五是加强消防安全管理。添置消防器材</w:t>
      </w:r>
      <w:r>
        <w:rPr>
          <w:rFonts w:hint="eastAsia" w:ascii="仿宋" w:hAnsi="仿宋" w:eastAsia="仿宋" w:cs="仿宋"/>
          <w:sz w:val="30"/>
          <w:szCs w:val="30"/>
          <w:lang w:eastAsia="zh-CN"/>
        </w:rPr>
        <w:t>，</w:t>
      </w:r>
      <w:r>
        <w:rPr>
          <w:rFonts w:hint="eastAsia" w:ascii="仿宋" w:hAnsi="仿宋" w:eastAsia="仿宋" w:cs="仿宋"/>
          <w:sz w:val="30"/>
          <w:szCs w:val="30"/>
        </w:rPr>
        <w:t>组织消防安全知识讲座培训2次，并进行了操作演练。生态园森林面积大且分散，消防工作条件艰苦、任务繁重，面对这种实际困难，从防范工作做起。全年清理林相10000m2，砍青除杂1500米，确保了森林安全。</w:t>
      </w:r>
    </w:p>
    <w:p>
      <w:pPr>
        <w:autoSpaceDE w:val="0"/>
        <w:autoSpaceDN w:val="0"/>
        <w:adjustRightInd w:val="0"/>
        <w:jc w:val="left"/>
        <w:rPr>
          <w:rFonts w:hint="eastAsia" w:ascii="仿宋" w:hAnsi="仿宋" w:eastAsia="仿宋" w:cs="仿宋"/>
          <w:sz w:val="30"/>
          <w:szCs w:val="30"/>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）抓文明创建，优化游园环境。</w:t>
      </w:r>
    </w:p>
    <w:p>
      <w:pPr>
        <w:autoSpaceDE w:val="0"/>
        <w:autoSpaceDN w:val="0"/>
        <w:adjustRightInd w:val="0"/>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全力做好文明指数测评工作。一是开展园区环境综合整治。强力推进园区环境综合整治工作，逐步实现园区管理制度化、规范化、常态化，全面提升园区整体形象。加强园区网格化管理，认真落实“门前三包、门内达标”责任制，对园区范围内环境进行综合整治提升。班子成员带领机关人员积极开展义务劳动，清理园内隐性白色垃圾、烟头、园林清杂等活动，此项工作已经纳入网格化管理的重要内容之一，实行常态化管理。二是完善园内基础设施。园区新安装垃圾桶35个，加装蓄水池盖板4个，下水道木盖板18块，下水道大、小井盖80余个，安装残疾人坐便器4个、洗脸盆5个，安装插头插座80个，安装标识标牌40块。园区更换主水管2000米，维修主水管18处，疏通下水道24次，更换厕所门4张，更换铝合金窗户1扇，修复5扇。更换不锈钢防盗门2扇，装防盗窗4扇。更换园区木桥防腐木20多处，更换园内照明设施200多处。三是设立了志愿者服务站，安排了专职服务人员。为志愿者服务站补充了各类服务游客的应急物品，如爱心医药箱、针线盒、血压仪、工具箱、老花镜、爱心雨伞等各类方便游客的爱心物品。并安排劝导员进行巡园劝导。四是开展经营项目大整治工作。重点对经营项目经营服务、环境卫生、食品安全、证照管理等方面进行集中清查和整顿。强化整改落实，实行一周一督导制度，对督导中发现的问题及时下达整改通知单，对拒不整改落实的部门责任人实行行政问责制。</w:t>
      </w:r>
      <w:r>
        <w:rPr>
          <w:rFonts w:hint="eastAsia" w:ascii="仿宋" w:hAnsi="仿宋" w:eastAsia="仿宋" w:cs="仿宋"/>
          <w:sz w:val="30"/>
          <w:szCs w:val="30"/>
          <w:lang w:val="en-US" w:eastAsia="zh-CN"/>
        </w:rPr>
        <w:t xml:space="preserve">                                  </w:t>
      </w:r>
    </w:p>
    <w:p>
      <w:pPr>
        <w:autoSpaceDE w:val="0"/>
        <w:autoSpaceDN w:val="0"/>
        <w:adjustRightInd w:val="0"/>
        <w:jc w:val="left"/>
        <w:rPr>
          <w:rFonts w:hint="eastAsia" w:ascii="仿宋" w:hAnsi="仿宋" w:eastAsia="仿宋" w:cs="仿宋"/>
          <w:sz w:val="30"/>
          <w:szCs w:val="30"/>
        </w:rPr>
      </w:pPr>
    </w:p>
    <w:p>
      <w:pPr>
        <w:autoSpaceDE w:val="0"/>
        <w:autoSpaceDN w:val="0"/>
        <w:adjustRightInd w:val="0"/>
        <w:jc w:val="left"/>
        <w:rPr>
          <w:rFonts w:hint="eastAsia" w:ascii="仿宋" w:hAnsi="仿宋" w:eastAsia="仿宋" w:cs="仿宋"/>
          <w:sz w:val="30"/>
          <w:szCs w:val="30"/>
        </w:rPr>
      </w:pPr>
    </w:p>
    <w:p>
      <w:pPr>
        <w:autoSpaceDE w:val="0"/>
        <w:autoSpaceDN w:val="0"/>
        <w:adjustRightInd w:val="0"/>
        <w:jc w:val="left"/>
        <w:rPr>
          <w:rFonts w:hint="eastAsia" w:ascii="仿宋" w:hAnsi="仿宋" w:eastAsia="仿宋" w:cs="仿宋"/>
          <w:sz w:val="30"/>
          <w:szCs w:val="30"/>
          <w:lang w:eastAsia="zh-CN"/>
        </w:rPr>
      </w:pPr>
    </w:p>
    <w:p>
      <w:pPr>
        <w:autoSpaceDE w:val="0"/>
        <w:autoSpaceDN w:val="0"/>
        <w:adjustRightInd w:val="0"/>
        <w:jc w:val="left"/>
        <w:rPr>
          <w:rFonts w:hint="eastAsia" w:ascii="仿宋" w:hAnsi="仿宋" w:eastAsia="仿宋" w:cs="仿宋"/>
          <w:sz w:val="30"/>
          <w:szCs w:val="30"/>
          <w:lang w:eastAsia="zh-CN"/>
        </w:rPr>
      </w:pPr>
    </w:p>
    <w:sectPr>
      <w:footerReference r:id="rId7" w:type="first"/>
      <w:headerReference r:id="rId4" w:type="default"/>
      <w:footerReference r:id="rId5" w:type="default"/>
      <w:footerReference r:id="rId6" w:type="even"/>
      <w:pgSz w:w="11906" w:h="16838"/>
      <w:pgMar w:top="1701" w:right="1588" w:bottom="1701" w:left="1587" w:header="851" w:footer="1417"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jc w:val="right"/>
      <w:textAlignment w:val="auto"/>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 xml:space="preserve"> 5 -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w:t>
                    </w:r>
                    <w:r>
                      <w:rPr>
                        <w:rFonts w:hint="eastAsia" w:asciiTheme="minorEastAsia" w:hAnsiTheme="minorEastAsia" w:eastAsiaTheme="minorEastAsia" w:cstheme="minorEastAsia"/>
                        <w:sz w:val="24"/>
                        <w:szCs w:val="24"/>
                      </w:rPr>
                      <w:t xml:space="preserve"> 5 -</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hint="eastAsia" w:ascii="宋体" w:hAnsi="宋体"/>
        <w:sz w:val="28"/>
        <w:szCs w:val="28"/>
      </w:rPr>
    </w:pP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- 4 -</w:t>
    </w:r>
    <w:r>
      <w:rPr>
        <w:rFonts w:ascii="宋体" w:hAnsi="宋体"/>
        <w:sz w:val="28"/>
        <w:szCs w:val="28"/>
      </w:rPr>
      <w:fldChar w:fldCharType="end"/>
    </w:r>
  </w:p>
  <w:p>
    <w:pPr>
      <w:rPr>
        <w:rFonts w:hint="eastAsia"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22</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0"/>
    <w:rsid w:val="00045E48"/>
    <w:rsid w:val="000821B1"/>
    <w:rsid w:val="000F1516"/>
    <w:rsid w:val="00104D85"/>
    <w:rsid w:val="001A67DB"/>
    <w:rsid w:val="00497920"/>
    <w:rsid w:val="004E28E2"/>
    <w:rsid w:val="00540666"/>
    <w:rsid w:val="005F4896"/>
    <w:rsid w:val="00602F57"/>
    <w:rsid w:val="006368A6"/>
    <w:rsid w:val="00675E80"/>
    <w:rsid w:val="006764BA"/>
    <w:rsid w:val="006F6B88"/>
    <w:rsid w:val="00702683"/>
    <w:rsid w:val="00702E34"/>
    <w:rsid w:val="00743FAD"/>
    <w:rsid w:val="00760301"/>
    <w:rsid w:val="00811C59"/>
    <w:rsid w:val="00812ED5"/>
    <w:rsid w:val="00821A06"/>
    <w:rsid w:val="00863780"/>
    <w:rsid w:val="009C3B52"/>
    <w:rsid w:val="00A60BF9"/>
    <w:rsid w:val="00AF73DA"/>
    <w:rsid w:val="00C07B71"/>
    <w:rsid w:val="00C82F1B"/>
    <w:rsid w:val="00C839E9"/>
    <w:rsid w:val="00C93FA9"/>
    <w:rsid w:val="00D52833"/>
    <w:rsid w:val="00E82457"/>
    <w:rsid w:val="00EA37E8"/>
    <w:rsid w:val="00F42445"/>
    <w:rsid w:val="00FE68B9"/>
    <w:rsid w:val="02166CA4"/>
    <w:rsid w:val="023C3459"/>
    <w:rsid w:val="028656D7"/>
    <w:rsid w:val="04CB0B19"/>
    <w:rsid w:val="04FE2957"/>
    <w:rsid w:val="0509707A"/>
    <w:rsid w:val="0574156B"/>
    <w:rsid w:val="05F124D2"/>
    <w:rsid w:val="068C07AB"/>
    <w:rsid w:val="07F537DE"/>
    <w:rsid w:val="08000DE0"/>
    <w:rsid w:val="084038E7"/>
    <w:rsid w:val="097F6F27"/>
    <w:rsid w:val="0C2D7760"/>
    <w:rsid w:val="0C7C0650"/>
    <w:rsid w:val="0C917398"/>
    <w:rsid w:val="0CD54D96"/>
    <w:rsid w:val="0E1B4560"/>
    <w:rsid w:val="0E7A7978"/>
    <w:rsid w:val="0EB40506"/>
    <w:rsid w:val="0F3A6D74"/>
    <w:rsid w:val="0F47304E"/>
    <w:rsid w:val="0FA97481"/>
    <w:rsid w:val="10642A89"/>
    <w:rsid w:val="10ED5292"/>
    <w:rsid w:val="11661A17"/>
    <w:rsid w:val="117306C3"/>
    <w:rsid w:val="1174263E"/>
    <w:rsid w:val="11F16D6E"/>
    <w:rsid w:val="13D03791"/>
    <w:rsid w:val="15C43764"/>
    <w:rsid w:val="16621F6C"/>
    <w:rsid w:val="16C77C05"/>
    <w:rsid w:val="17B21D1D"/>
    <w:rsid w:val="17E172E7"/>
    <w:rsid w:val="1887113F"/>
    <w:rsid w:val="198C6A77"/>
    <w:rsid w:val="1DFD7D50"/>
    <w:rsid w:val="1EF21DCC"/>
    <w:rsid w:val="1F0D2AA6"/>
    <w:rsid w:val="1FD64628"/>
    <w:rsid w:val="20385145"/>
    <w:rsid w:val="20FD5D0C"/>
    <w:rsid w:val="215F62A1"/>
    <w:rsid w:val="21877A7F"/>
    <w:rsid w:val="22C03AA0"/>
    <w:rsid w:val="236407A7"/>
    <w:rsid w:val="240C0F73"/>
    <w:rsid w:val="242F6CB9"/>
    <w:rsid w:val="246F7FEB"/>
    <w:rsid w:val="248D510E"/>
    <w:rsid w:val="24E8109D"/>
    <w:rsid w:val="25640414"/>
    <w:rsid w:val="256650BC"/>
    <w:rsid w:val="26B52FDA"/>
    <w:rsid w:val="27FD5EEE"/>
    <w:rsid w:val="28800BFD"/>
    <w:rsid w:val="2918331B"/>
    <w:rsid w:val="29441EE7"/>
    <w:rsid w:val="2A4309DF"/>
    <w:rsid w:val="2A7C6368"/>
    <w:rsid w:val="2A9B7D00"/>
    <w:rsid w:val="2B62316E"/>
    <w:rsid w:val="2BEB68D9"/>
    <w:rsid w:val="2BFD3C98"/>
    <w:rsid w:val="2C1B2173"/>
    <w:rsid w:val="2C28620D"/>
    <w:rsid w:val="2D2764C4"/>
    <w:rsid w:val="2DFA5723"/>
    <w:rsid w:val="2FB57340"/>
    <w:rsid w:val="2FCB4670"/>
    <w:rsid w:val="31921263"/>
    <w:rsid w:val="3196361D"/>
    <w:rsid w:val="32417E84"/>
    <w:rsid w:val="326E03DE"/>
    <w:rsid w:val="33397B2F"/>
    <w:rsid w:val="35747E2C"/>
    <w:rsid w:val="36395180"/>
    <w:rsid w:val="37092125"/>
    <w:rsid w:val="385B41F0"/>
    <w:rsid w:val="39175B03"/>
    <w:rsid w:val="3A447540"/>
    <w:rsid w:val="3B0A3139"/>
    <w:rsid w:val="3B962D1A"/>
    <w:rsid w:val="3D937AC1"/>
    <w:rsid w:val="3E3262F9"/>
    <w:rsid w:val="3E605C5B"/>
    <w:rsid w:val="3E667F74"/>
    <w:rsid w:val="3EE619A2"/>
    <w:rsid w:val="3EF403B9"/>
    <w:rsid w:val="41CE7BC5"/>
    <w:rsid w:val="438B32CA"/>
    <w:rsid w:val="4427418C"/>
    <w:rsid w:val="44E35F5D"/>
    <w:rsid w:val="45FA0F01"/>
    <w:rsid w:val="46600600"/>
    <w:rsid w:val="466A5480"/>
    <w:rsid w:val="46944FEC"/>
    <w:rsid w:val="47501C04"/>
    <w:rsid w:val="48661359"/>
    <w:rsid w:val="4873172F"/>
    <w:rsid w:val="4A4A59AE"/>
    <w:rsid w:val="4A891728"/>
    <w:rsid w:val="4C3C63DA"/>
    <w:rsid w:val="4C7A0A21"/>
    <w:rsid w:val="4C7F3005"/>
    <w:rsid w:val="4E8644B7"/>
    <w:rsid w:val="4EAE57FC"/>
    <w:rsid w:val="4EFF6513"/>
    <w:rsid w:val="4F01446D"/>
    <w:rsid w:val="4F34478B"/>
    <w:rsid w:val="50475C80"/>
    <w:rsid w:val="50537E2F"/>
    <w:rsid w:val="509E1256"/>
    <w:rsid w:val="5273613D"/>
    <w:rsid w:val="531D48EE"/>
    <w:rsid w:val="5351543F"/>
    <w:rsid w:val="53DF6534"/>
    <w:rsid w:val="54150DA3"/>
    <w:rsid w:val="55077901"/>
    <w:rsid w:val="552E5D24"/>
    <w:rsid w:val="553F4A4A"/>
    <w:rsid w:val="555D0D47"/>
    <w:rsid w:val="59A271BC"/>
    <w:rsid w:val="5A4570E6"/>
    <w:rsid w:val="5B496D6D"/>
    <w:rsid w:val="5B6104B5"/>
    <w:rsid w:val="5BD063C3"/>
    <w:rsid w:val="5D117E23"/>
    <w:rsid w:val="5D48579D"/>
    <w:rsid w:val="5ECD5C44"/>
    <w:rsid w:val="5EFA3681"/>
    <w:rsid w:val="5F323360"/>
    <w:rsid w:val="5F4A24CD"/>
    <w:rsid w:val="606E0314"/>
    <w:rsid w:val="61DE2E93"/>
    <w:rsid w:val="62866DC8"/>
    <w:rsid w:val="6343296E"/>
    <w:rsid w:val="635202FA"/>
    <w:rsid w:val="63825988"/>
    <w:rsid w:val="63AF69A2"/>
    <w:rsid w:val="643103B6"/>
    <w:rsid w:val="64B5355B"/>
    <w:rsid w:val="654B292E"/>
    <w:rsid w:val="67811864"/>
    <w:rsid w:val="6A2815BF"/>
    <w:rsid w:val="6A647009"/>
    <w:rsid w:val="6BB61E15"/>
    <w:rsid w:val="6DB123F3"/>
    <w:rsid w:val="6E1A6C48"/>
    <w:rsid w:val="6E9C1FC3"/>
    <w:rsid w:val="6EAC7D31"/>
    <w:rsid w:val="6F01256D"/>
    <w:rsid w:val="6FCA664A"/>
    <w:rsid w:val="70D4307F"/>
    <w:rsid w:val="712F452E"/>
    <w:rsid w:val="735C5AA1"/>
    <w:rsid w:val="73781BAB"/>
    <w:rsid w:val="74550674"/>
    <w:rsid w:val="76023E80"/>
    <w:rsid w:val="76603975"/>
    <w:rsid w:val="78023040"/>
    <w:rsid w:val="780E0B41"/>
    <w:rsid w:val="7AD309D9"/>
    <w:rsid w:val="7B657330"/>
    <w:rsid w:val="7BC053E1"/>
    <w:rsid w:val="7C604D24"/>
    <w:rsid w:val="7C6441B5"/>
    <w:rsid w:val="7CD349CC"/>
    <w:rsid w:val="7D0B77EC"/>
    <w:rsid w:val="7DB032E1"/>
    <w:rsid w:val="7E3F0612"/>
    <w:rsid w:val="7E9B4B93"/>
    <w:rsid w:val="7F021E90"/>
    <w:rsid w:val="7F614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qFormat/>
    <w:uiPriority w:val="0"/>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7100</Words>
  <Characters>7882</Characters>
  <Lines>14</Lines>
  <Paragraphs>4</Paragraphs>
  <TotalTime>24</TotalTime>
  <ScaleCrop>false</ScaleCrop>
  <LinksUpToDate>false</LinksUpToDate>
  <CharactersWithSpaces>9447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王德娟</cp:lastModifiedBy>
  <cp:lastPrinted>2020-08-28T09:48:00Z</cp:lastPrinted>
  <dcterms:modified xsi:type="dcterms:W3CDTF">2022-03-10T07:09:37Z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19CEA22573944A73A82D031581EE68DF</vt:lpwstr>
  </property>
</Properties>
</file>