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color w:val="auto"/>
          <w:kern w:val="0"/>
          <w:sz w:val="48"/>
          <w:szCs w:val="48"/>
          <w:highlight w:val="none"/>
        </w:rPr>
      </w:pPr>
      <w:bookmarkStart w:id="0" w:name="_Hlk107645535"/>
      <w:bookmarkStart w:id="1" w:name="_Hlk107649868"/>
      <w:r>
        <w:rPr>
          <w:rFonts w:hint="eastAsia" w:ascii="仿宋" w:hAnsi="仿宋" w:eastAsia="仿宋" w:cs="仿宋"/>
          <w:b/>
          <w:bCs/>
          <w:color w:val="auto"/>
          <w:kern w:val="0"/>
          <w:sz w:val="48"/>
          <w:szCs w:val="48"/>
          <w:highlight w:val="none"/>
        </w:rPr>
        <w:t>2021年长沙市开福区新河街道办事处部门预算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color w:val="auto"/>
          <w:kern w:val="0"/>
          <w:sz w:val="48"/>
          <w:szCs w:val="48"/>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color w:val="auto"/>
          <w:kern w:val="0"/>
          <w:sz w:val="32"/>
          <w:szCs w:val="32"/>
          <w:highlight w:val="none"/>
        </w:rPr>
      </w:pPr>
      <w:r>
        <w:rPr>
          <w:rFonts w:eastAsia="黑体"/>
          <w:bCs/>
          <w:color w:val="auto"/>
          <w:kern w:val="0"/>
          <w:sz w:val="32"/>
          <w:szCs w:val="32"/>
          <w:highlight w:val="none"/>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highlight w:val="none"/>
        </w:rPr>
      </w:pPr>
      <w:r>
        <w:rPr>
          <w:rFonts w:hint="eastAsia" w:ascii="黑体" w:hAnsi="黑体" w:eastAsia="黑体" w:cs="黑体"/>
          <w:b/>
          <w:bCs/>
          <w:color w:val="auto"/>
          <w:kern w:val="0"/>
          <w:sz w:val="32"/>
          <w:szCs w:val="32"/>
          <w:highlight w:val="none"/>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color w:val="auto"/>
          <w:sz w:val="32"/>
          <w:szCs w:val="32"/>
          <w:highlight w:val="none"/>
        </w:rPr>
      </w:pPr>
      <w:r>
        <w:rPr>
          <w:rFonts w:hint="eastAsia" w:ascii="仿宋" w:hAnsi="仿宋" w:eastAsia="仿宋" w:cs="仿宋"/>
          <w:color w:val="auto"/>
          <w:sz w:val="32"/>
          <w:szCs w:val="32"/>
          <w:highlight w:val="none"/>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highlight w:val="none"/>
        </w:rPr>
      </w:pPr>
      <w:r>
        <w:rPr>
          <w:rFonts w:hint="eastAsia" w:ascii="黑体" w:hAnsi="黑体" w:eastAsia="黑体" w:cs="黑体"/>
          <w:b/>
          <w:bCs/>
          <w:color w:val="auto"/>
          <w:kern w:val="0"/>
          <w:sz w:val="32"/>
          <w:szCs w:val="32"/>
          <w:highlight w:val="none"/>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highlight w:val="none"/>
        </w:rPr>
      </w:pPr>
      <w:r>
        <w:rPr>
          <w:rFonts w:hint="eastAsia" w:ascii="仿宋" w:hAnsi="仿宋" w:eastAsia="仿宋" w:cs="仿宋"/>
          <w:bCs/>
          <w:color w:val="auto"/>
          <w:kern w:val="0"/>
          <w:sz w:val="32"/>
          <w:szCs w:val="32"/>
          <w:highlight w:val="none"/>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color w:val="auto"/>
          <w:kern w:val="0"/>
          <w:sz w:val="36"/>
          <w:szCs w:val="36"/>
          <w:highlight w:val="none"/>
        </w:rPr>
      </w:pPr>
      <w:r>
        <w:rPr>
          <w:rFonts w:hint="eastAsia" w:ascii="黑体" w:hAnsi="黑体" w:eastAsia="黑体" w:cs="黑体"/>
          <w:b/>
          <w:color w:val="auto"/>
          <w:kern w:val="0"/>
          <w:sz w:val="44"/>
          <w:szCs w:val="44"/>
          <w:highlight w:val="none"/>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highlight w:val="none"/>
        </w:rPr>
      </w:pPr>
      <w:r>
        <w:rPr>
          <w:rFonts w:eastAsia="黑体"/>
          <w:bCs/>
          <w:color w:val="auto"/>
          <w:kern w:val="0"/>
          <w:sz w:val="32"/>
          <w:szCs w:val="32"/>
          <w:highlight w:val="none"/>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（一）职能职责。</w:t>
      </w:r>
      <w:bookmarkEnd w:id="0"/>
      <w:bookmarkEnd w:id="1"/>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2、统筹区域发展。统筹落实市、区关于辖区发展的重大决策和建设规划,负责优化发展环境、采集企业信息、服务辖区企业、促进项目发展等工作。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3、组织公共服务。组织实施与居民生活密切相关的各项公共服务事项,落实人力资源社会保障、民政、教育、文化、体育、卫生健康等领域相关法规政策。</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4、实施公共管理。负责辖区内城市管理等地区性、综合性管理工作,承担组织领导和综合协调职能。</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5、维护公共安全。承担辖区内社会治安综合治理、应急管理等有关工作,接待群众来信来访,反映社情民意,化解矛盾纠纷等。</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6、监督执法管理。对辖区内各类行政执法工作进行统筹协调,组织开展群众监督和社会监督。</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7、动员社会参与。动员辖区内各类单位、社会组织、社区居民等社会力量参与社会治理,为街道发展服务。</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8、保障社区自治。指导社区居委会建设,健全社区自治平台,组织驻区单位和社区居民参与社区建设、管理。</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9、完成区委、区政府交办的其他工作。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1</w:t>
      </w:r>
      <w:r>
        <w:rPr>
          <w:rFonts w:ascii="仿宋" w:hAnsi="仿宋" w:eastAsia="仿宋" w:cs="仿宋"/>
          <w:bCs/>
          <w:color w:val="auto"/>
          <w:sz w:val="32"/>
          <w:szCs w:val="32"/>
          <w:highlight w:val="none"/>
        </w:rPr>
        <w:t>0</w:t>
      </w:r>
      <w:r>
        <w:rPr>
          <w:rFonts w:hint="eastAsia" w:ascii="仿宋" w:hAnsi="仿宋" w:eastAsia="仿宋" w:cs="仿宋"/>
          <w:bCs/>
          <w:color w:val="auto"/>
          <w:sz w:val="32"/>
          <w:szCs w:val="32"/>
          <w:highlight w:val="none"/>
        </w:rPr>
        <w:t>、职能转变。一是取消城区街道招商引资、协税护税职能,将街道工作重心转为优化公共服务,为经济社会发展提供良好的营商环境。二是全面加强基层党的建设,提升党建引领城市基层治理的能力；加强对辖区内城市综合管理工作的组织实施和统筹协调职责；加强辖区内与居民密切相关的行政审批和公共服务的组织实施职责；加强维护辖区公共安全职责。</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bookmarkStart w:id="2" w:name="_Hlk107645654"/>
      <w:r>
        <w:rPr>
          <w:rFonts w:hint="eastAsia" w:ascii="仿宋" w:hAnsi="仿宋" w:eastAsia="仿宋" w:cs="仿宋"/>
          <w:b/>
          <w:color w:val="auto"/>
          <w:sz w:val="32"/>
          <w:szCs w:val="32"/>
          <w:highlight w:val="none"/>
        </w:rPr>
        <w:t>（二）机构设置。</w:t>
      </w:r>
      <w:bookmarkEnd w:id="2"/>
      <w:r>
        <w:rPr>
          <w:rFonts w:hint="eastAsia" w:ascii="仿宋" w:hAnsi="仿宋" w:eastAsia="仿宋" w:cs="仿宋"/>
          <w:bCs/>
          <w:color w:val="auto"/>
          <w:sz w:val="32"/>
          <w:szCs w:val="32"/>
          <w:highlight w:val="none"/>
        </w:rPr>
        <w:t>本街道由六个部门三个中心及两个二级机构组成，部门、中心及二级机构包括：基层党建办、党政综合办、公共安全办、城市管理办、公共服务办、财政所、街道政务服务中心、街道网格化综合服务中心、街道退役军人服务中心及城管中队、两保站。</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本部门编制数51人，在职人数52人，其中：在岗人数52人；编外长期聘用人员16人；离退休人数32人，其中离休人员0人，退休人员32人）。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color w:val="auto"/>
          <w:kern w:val="0"/>
          <w:sz w:val="32"/>
          <w:szCs w:val="32"/>
          <w:highlight w:val="none"/>
        </w:rPr>
      </w:pPr>
      <w:bookmarkStart w:id="3" w:name="_Hlk107645678"/>
      <w:r>
        <w:rPr>
          <w:rFonts w:eastAsia="黑体"/>
          <w:color w:val="auto"/>
          <w:kern w:val="0"/>
          <w:sz w:val="32"/>
          <w:szCs w:val="32"/>
          <w:highlight w:val="none"/>
        </w:rPr>
        <w:t>二、部门预算单位构成</w:t>
      </w:r>
    </w:p>
    <w:bookmarkEnd w:id="3"/>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纳入2021年部门预算编制范围的预算单位包括：</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开福区新河街道办事处只有本级，没有其他二级预算单位，因此，纳入2021年部门预算编制范围的只有开福区新河街道办事处本级。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color w:val="auto"/>
          <w:kern w:val="0"/>
          <w:sz w:val="32"/>
          <w:szCs w:val="32"/>
          <w:highlight w:val="none"/>
        </w:rPr>
      </w:pPr>
      <w:bookmarkStart w:id="4" w:name="_Hlk107645687"/>
      <w:r>
        <w:rPr>
          <w:rFonts w:hint="eastAsia" w:eastAsia="黑体"/>
          <w:bCs/>
          <w:color w:val="auto"/>
          <w:kern w:val="0"/>
          <w:sz w:val="32"/>
          <w:szCs w:val="32"/>
          <w:highlight w:val="none"/>
        </w:rPr>
        <w:t>三、</w:t>
      </w:r>
      <w:r>
        <w:rPr>
          <w:rFonts w:eastAsia="黑体"/>
          <w:bCs/>
          <w:color w:val="auto"/>
          <w:kern w:val="0"/>
          <w:sz w:val="32"/>
          <w:szCs w:val="32"/>
          <w:highlight w:val="none"/>
        </w:rPr>
        <w:t>部门收支总体情况</w:t>
      </w:r>
    </w:p>
    <w:bookmarkEnd w:id="4"/>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bookmarkStart w:id="5" w:name="_Hlk107645704"/>
      <w:r>
        <w:rPr>
          <w:rFonts w:hint="eastAsia" w:ascii="仿宋" w:hAnsi="仿宋" w:eastAsia="仿宋" w:cs="仿宋"/>
          <w:b/>
          <w:color w:val="auto"/>
          <w:sz w:val="32"/>
          <w:szCs w:val="32"/>
          <w:highlight w:val="none"/>
        </w:rPr>
        <w:t>（一）收入预算：</w:t>
      </w:r>
      <w:bookmarkEnd w:id="5"/>
      <w:r>
        <w:rPr>
          <w:rFonts w:hint="eastAsia" w:ascii="仿宋" w:hAnsi="仿宋" w:eastAsia="仿宋" w:cs="仿宋"/>
          <w:color w:val="auto"/>
          <w:sz w:val="32"/>
          <w:szCs w:val="32"/>
          <w:highlight w:val="none"/>
        </w:rPr>
        <w:t>包括一般公共预算、政府性基金、国有资本经营预算等财政拨款收入，以及经营收入、事业收入等单位资金。</w:t>
      </w:r>
      <w:r>
        <w:rPr>
          <w:rFonts w:hint="eastAsia" w:ascii="仿宋" w:hAnsi="仿宋" w:eastAsia="仿宋" w:cs="仿宋"/>
          <w:bCs/>
          <w:color w:val="auto"/>
          <w:sz w:val="32"/>
          <w:szCs w:val="32"/>
          <w:highlight w:val="none"/>
        </w:rPr>
        <w:t>2021年年初预算数5074.27万元，其中，一般公共预算拨款2527.56万元，政府性基金预算拨款0万元，国有资本经营预算拨款0万元，纳入专户管理的非税收入0万元，其他收入2236.71万元,上年结转310万元。收入较去年</w:t>
      </w:r>
      <w:r>
        <w:rPr>
          <w:rFonts w:hint="eastAsia" w:ascii="仿宋" w:hAnsi="仿宋" w:eastAsia="仿宋" w:cs="仿宋"/>
          <w:bCs/>
          <w:color w:val="auto"/>
          <w:sz w:val="32"/>
          <w:szCs w:val="32"/>
          <w:highlight w:val="none"/>
        </w:rPr>
        <w:t>减少</w:t>
      </w:r>
      <w:r>
        <w:rPr>
          <w:rFonts w:ascii="仿宋" w:hAnsi="仿宋" w:eastAsia="仿宋" w:cs="仿宋"/>
          <w:bCs/>
          <w:color w:val="auto"/>
          <w:sz w:val="32"/>
          <w:szCs w:val="32"/>
          <w:highlight w:val="none"/>
        </w:rPr>
        <w:t>189.49</w:t>
      </w:r>
      <w:r>
        <w:rPr>
          <w:rFonts w:hint="eastAsia" w:ascii="仿宋" w:hAnsi="仿宋" w:eastAsia="仿宋" w:cs="仿宋"/>
          <w:bCs/>
          <w:color w:val="auto"/>
          <w:sz w:val="32"/>
          <w:szCs w:val="32"/>
          <w:highlight w:val="none"/>
        </w:rPr>
        <w:t>万元，下降</w:t>
      </w:r>
      <w:r>
        <w:rPr>
          <w:rFonts w:ascii="仿宋" w:hAnsi="仿宋" w:eastAsia="仿宋" w:cs="仿宋"/>
          <w:bCs/>
          <w:color w:val="auto"/>
          <w:sz w:val="32"/>
          <w:szCs w:val="32"/>
          <w:highlight w:val="none"/>
        </w:rPr>
        <w:t>3.6</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rPr>
        <w:t>主要原因是人员经费的增长。</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bookmarkStart w:id="6" w:name="_Hlk107645712"/>
      <w:r>
        <w:rPr>
          <w:rFonts w:hint="eastAsia" w:ascii="仿宋" w:hAnsi="仿宋" w:eastAsia="仿宋" w:cs="仿宋"/>
          <w:b/>
          <w:color w:val="auto"/>
          <w:sz w:val="32"/>
          <w:szCs w:val="32"/>
          <w:highlight w:val="none"/>
        </w:rPr>
        <w:t>（二）支出预算：</w:t>
      </w:r>
      <w:bookmarkEnd w:id="6"/>
      <w:r>
        <w:rPr>
          <w:rFonts w:hint="eastAsia" w:ascii="仿宋" w:hAnsi="仿宋" w:eastAsia="仿宋" w:cs="仿宋"/>
          <w:bCs/>
          <w:color w:val="auto"/>
          <w:sz w:val="32"/>
          <w:szCs w:val="32"/>
          <w:highlight w:val="none"/>
        </w:rPr>
        <w:t>2021年支出预算数5074.27万元，其中，一般公共服务支出3063.16万元，社会保障和就业支出1202.59万元，</w:t>
      </w:r>
      <w:r>
        <w:rPr>
          <w:rFonts w:hint="eastAsia" w:ascii="仿宋" w:hAnsi="仿宋" w:eastAsia="仿宋" w:cs="仿宋"/>
          <w:bCs/>
          <w:color w:val="auto"/>
          <w:sz w:val="32"/>
          <w:szCs w:val="32"/>
          <w:highlight w:val="none"/>
        </w:rPr>
        <w:t>城乡社区管理事务支出6</w:t>
      </w:r>
      <w:r>
        <w:rPr>
          <w:rFonts w:ascii="仿宋" w:hAnsi="仿宋" w:eastAsia="仿宋" w:cs="仿宋"/>
          <w:bCs/>
          <w:color w:val="auto"/>
          <w:sz w:val="32"/>
          <w:szCs w:val="32"/>
          <w:highlight w:val="none"/>
        </w:rPr>
        <w:t>89.6</w:t>
      </w:r>
      <w:r>
        <w:rPr>
          <w:rFonts w:hint="eastAsia" w:ascii="仿宋" w:hAnsi="仿宋" w:eastAsia="仿宋" w:cs="仿宋"/>
          <w:bCs/>
          <w:color w:val="auto"/>
          <w:sz w:val="32"/>
          <w:szCs w:val="32"/>
          <w:highlight w:val="none"/>
        </w:rPr>
        <w:t>万元，</w:t>
      </w:r>
      <w:r>
        <w:rPr>
          <w:rFonts w:hint="eastAsia" w:ascii="仿宋" w:hAnsi="仿宋" w:eastAsia="仿宋" w:cs="仿宋"/>
          <w:bCs/>
          <w:color w:val="auto"/>
          <w:sz w:val="32"/>
          <w:szCs w:val="32"/>
          <w:highlight w:val="none"/>
          <w:lang w:val="en-US" w:eastAsia="zh-CN"/>
        </w:rPr>
        <w:t>住房保障</w:t>
      </w:r>
      <w:r>
        <w:rPr>
          <w:rFonts w:hint="eastAsia" w:ascii="仿宋" w:hAnsi="仿宋" w:eastAsia="仿宋" w:cs="仿宋"/>
          <w:bCs/>
          <w:color w:val="auto"/>
          <w:sz w:val="32"/>
          <w:szCs w:val="32"/>
          <w:highlight w:val="none"/>
        </w:rPr>
        <w:t>支出1</w:t>
      </w:r>
      <w:r>
        <w:rPr>
          <w:rFonts w:ascii="仿宋" w:hAnsi="仿宋" w:eastAsia="仿宋" w:cs="仿宋"/>
          <w:bCs/>
          <w:color w:val="auto"/>
          <w:sz w:val="32"/>
          <w:szCs w:val="32"/>
          <w:highlight w:val="none"/>
        </w:rPr>
        <w:t>18.92</w:t>
      </w:r>
      <w:r>
        <w:rPr>
          <w:rFonts w:hint="eastAsia" w:ascii="仿宋" w:hAnsi="仿宋" w:eastAsia="仿宋" w:cs="仿宋"/>
          <w:bCs/>
          <w:color w:val="auto"/>
          <w:sz w:val="32"/>
          <w:szCs w:val="32"/>
          <w:highlight w:val="none"/>
        </w:rPr>
        <w:t>万元</w:t>
      </w:r>
      <w:r>
        <w:rPr>
          <w:rFonts w:hint="eastAsia" w:ascii="仿宋" w:hAnsi="仿宋" w:eastAsia="仿宋" w:cs="仿宋"/>
          <w:bCs/>
          <w:color w:val="auto"/>
          <w:sz w:val="32"/>
          <w:szCs w:val="32"/>
          <w:highlight w:val="none"/>
        </w:rPr>
        <w:t>。本年支出预算数比上年增加减少189.49万元，减少3.60%。支出减少的主要原因是：项目经费的压缩。</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bookmarkStart w:id="7" w:name="_Hlk107646141"/>
      <w:r>
        <w:rPr>
          <w:rFonts w:eastAsia="黑体"/>
          <w:color w:val="auto"/>
          <w:sz w:val="32"/>
          <w:szCs w:val="32"/>
          <w:highlight w:val="none"/>
        </w:rPr>
        <w:t>四、一般公共预算拨款支出</w:t>
      </w:r>
      <w:bookmarkStart w:id="19" w:name="_GoBack"/>
      <w:bookmarkEnd w:id="19"/>
    </w:p>
    <w:bookmarkEnd w:id="7"/>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2021年一般公共预算拨款收入2527.56万元，</w:t>
      </w:r>
      <w:bookmarkStart w:id="8" w:name="_Hlk107646149"/>
      <w:r>
        <w:rPr>
          <w:rFonts w:hint="eastAsia" w:ascii="仿宋" w:hAnsi="仿宋" w:eastAsia="仿宋" w:cs="仿宋"/>
          <w:color w:val="auto"/>
          <w:sz w:val="32"/>
          <w:szCs w:val="32"/>
          <w:highlight w:val="none"/>
        </w:rPr>
        <w:t>其中，一般公共服务支出</w:t>
      </w:r>
      <w:r>
        <w:rPr>
          <w:rFonts w:ascii="仿宋" w:hAnsi="仿宋" w:eastAsia="仿宋" w:cs="仿宋"/>
          <w:color w:val="auto"/>
          <w:sz w:val="32"/>
          <w:szCs w:val="32"/>
          <w:highlight w:val="none"/>
        </w:rPr>
        <w:t>2265.61</w:t>
      </w:r>
      <w:r>
        <w:rPr>
          <w:rFonts w:hint="eastAsia" w:ascii="仿宋" w:hAnsi="仿宋" w:eastAsia="仿宋" w:cs="仿宋"/>
          <w:color w:val="auto"/>
          <w:sz w:val="32"/>
          <w:szCs w:val="32"/>
          <w:highlight w:val="none"/>
        </w:rPr>
        <w:t>万元，占</w:t>
      </w:r>
      <w:r>
        <w:rPr>
          <w:rFonts w:ascii="仿宋" w:hAnsi="仿宋" w:eastAsia="仿宋" w:cs="仿宋"/>
          <w:color w:val="auto"/>
          <w:sz w:val="32"/>
          <w:szCs w:val="32"/>
          <w:highlight w:val="none"/>
        </w:rPr>
        <w:t>89.64</w:t>
      </w:r>
      <w:r>
        <w:rPr>
          <w:rFonts w:hint="eastAsia" w:ascii="仿宋" w:hAnsi="仿宋" w:eastAsia="仿宋" w:cs="仿宋"/>
          <w:color w:val="auto"/>
          <w:sz w:val="32"/>
          <w:szCs w:val="32"/>
          <w:highlight w:val="none"/>
        </w:rPr>
        <w:t>%；</w:t>
      </w:r>
      <w:r>
        <w:rPr>
          <w:rFonts w:hint="eastAsia" w:ascii="仿宋" w:hAnsi="仿宋" w:eastAsia="仿宋"/>
          <w:color w:val="auto"/>
          <w:sz w:val="32"/>
          <w:szCs w:val="32"/>
          <w:highlight w:val="none"/>
        </w:rPr>
        <w:t>社会保障和就业</w:t>
      </w:r>
      <w:r>
        <w:rPr>
          <w:rFonts w:ascii="仿宋" w:hAnsi="仿宋" w:eastAsia="仿宋"/>
          <w:color w:val="auto"/>
          <w:sz w:val="32"/>
          <w:szCs w:val="32"/>
          <w:highlight w:val="none"/>
        </w:rPr>
        <w:t>143.03</w:t>
      </w:r>
      <w:r>
        <w:rPr>
          <w:rFonts w:hint="eastAsia" w:ascii="仿宋" w:hAnsi="仿宋" w:eastAsia="仿宋" w:cs="仿宋"/>
          <w:color w:val="auto"/>
          <w:sz w:val="32"/>
          <w:szCs w:val="32"/>
          <w:highlight w:val="none"/>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占</w:t>
      </w:r>
      <w:r>
        <w:rPr>
          <w:rFonts w:ascii="仿宋" w:hAnsi="仿宋" w:eastAsia="仿宋" w:cs="仿宋"/>
          <w:color w:val="auto"/>
          <w:sz w:val="32"/>
          <w:szCs w:val="32"/>
          <w:highlight w:val="none"/>
        </w:rPr>
        <w:t>5.66</w:t>
      </w:r>
      <w:r>
        <w:rPr>
          <w:rFonts w:hint="eastAsia" w:ascii="仿宋" w:hAnsi="仿宋" w:eastAsia="仿宋"/>
          <w:color w:val="auto"/>
          <w:sz w:val="32"/>
          <w:szCs w:val="32"/>
          <w:highlight w:val="none"/>
        </w:rPr>
        <w:t>%；住房保障支出</w:t>
      </w:r>
      <w:r>
        <w:rPr>
          <w:rFonts w:ascii="仿宋" w:hAnsi="仿宋" w:eastAsia="仿宋" w:cs="仿宋"/>
          <w:color w:val="auto"/>
          <w:sz w:val="32"/>
          <w:szCs w:val="32"/>
          <w:highlight w:val="none"/>
        </w:rPr>
        <w:t>118.92</w:t>
      </w:r>
      <w:r>
        <w:rPr>
          <w:rFonts w:hint="eastAsia" w:ascii="仿宋" w:hAnsi="仿宋" w:eastAsia="仿宋"/>
          <w:color w:val="auto"/>
          <w:sz w:val="32"/>
          <w:szCs w:val="32"/>
          <w:highlight w:val="none"/>
        </w:rPr>
        <w:t>万元，</w:t>
      </w:r>
      <w:r>
        <w:rPr>
          <w:rFonts w:ascii="仿宋" w:hAnsi="仿宋" w:eastAsia="仿宋"/>
          <w:color w:val="auto"/>
          <w:sz w:val="32"/>
          <w:szCs w:val="32"/>
          <w:highlight w:val="none"/>
        </w:rPr>
        <w:t>占</w:t>
      </w:r>
      <w:bookmarkEnd w:id="8"/>
      <w:r>
        <w:rPr>
          <w:rFonts w:ascii="仿宋" w:hAnsi="仿宋" w:eastAsia="仿宋" w:cs="仿宋"/>
          <w:color w:val="auto"/>
          <w:sz w:val="32"/>
          <w:szCs w:val="32"/>
          <w:highlight w:val="none"/>
        </w:rPr>
        <w:t>4.7%</w:t>
      </w:r>
      <w:r>
        <w:rPr>
          <w:rFonts w:hint="eastAsia" w:ascii="仿宋" w:hAnsi="仿宋" w:eastAsia="仿宋" w:cs="仿宋"/>
          <w:color w:val="auto"/>
          <w:sz w:val="32"/>
          <w:szCs w:val="32"/>
          <w:highlight w:val="none"/>
        </w:rPr>
        <w:t>。</w:t>
      </w:r>
      <w:r>
        <w:rPr>
          <w:rFonts w:hint="eastAsia" w:ascii="仿宋" w:hAnsi="仿宋" w:eastAsia="仿宋" w:cs="仿宋"/>
          <w:bCs/>
          <w:color w:val="auto"/>
          <w:sz w:val="32"/>
          <w:szCs w:val="32"/>
          <w:highlight w:val="none"/>
        </w:rPr>
        <w:t>具体安排情况如下：</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r>
        <w:rPr>
          <w:rFonts w:hint="eastAsia" w:ascii="仿宋" w:hAnsi="仿宋" w:eastAsia="仿宋" w:cs="仿宋"/>
          <w:b/>
          <w:color w:val="auto"/>
          <w:sz w:val="32"/>
          <w:szCs w:val="32"/>
          <w:highlight w:val="none"/>
        </w:rPr>
        <w:t>（一）基本支出：</w:t>
      </w:r>
      <w:r>
        <w:rPr>
          <w:rFonts w:hint="eastAsia" w:ascii="仿宋" w:hAnsi="仿宋" w:eastAsia="仿宋" w:cs="仿宋"/>
          <w:bCs/>
          <w:color w:val="auto"/>
          <w:sz w:val="32"/>
          <w:szCs w:val="32"/>
          <w:highlight w:val="none"/>
        </w:rPr>
        <w:t>2021年预算数为1847.77万元，是指为保障单位机构正常运转、完成日常工作任务而发生的各项支出，包括用于基本工资、津贴补贴等人员经费以及办公费、印刷费、水电费、办公设备购置等日常公用经费。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r>
        <w:rPr>
          <w:rFonts w:hint="eastAsia" w:ascii="仿宋" w:hAnsi="仿宋" w:eastAsia="仿宋" w:cs="仿宋"/>
          <w:b/>
          <w:color w:val="auto"/>
          <w:sz w:val="32"/>
          <w:szCs w:val="32"/>
          <w:highlight w:val="none"/>
        </w:rPr>
        <w:t>（二）项目支出：</w:t>
      </w:r>
      <w:r>
        <w:rPr>
          <w:rFonts w:hint="eastAsia" w:ascii="仿宋" w:hAnsi="仿宋" w:eastAsia="仿宋" w:cs="仿宋"/>
          <w:bCs/>
          <w:color w:val="auto"/>
          <w:sz w:val="32"/>
          <w:szCs w:val="32"/>
          <w:highlight w:val="none"/>
        </w:rPr>
        <w:t>2021年预算数为679.78万元，是指单位为完成特定行政工作任务或事业发展目标而发生的支出，其中：城市管理专项经费67.39万元，主要用于市容环境卫生、背街小巷清扫保洁费、河堤河滩保洁、城管工作、安全生产、食品安全、环保宣传、其他城市管理事务、城管协管员工资福利支出、城管中队人员费用、食安人员费用；公共服务专项经费259.15万元，主要用于社会救助、拥军优属、两保站人经费、社区工作经费、惠民资金、高龄补贴、卫生计生、居家养老、其他公共服务、产业发展、招商引资、协税护税、工商管理、统计经普工作、创业富民、节能环保、打非治违、科技宣传、安全生产、三供一业分离、财政所建设、其他经济发展事务；公共安全专项事务53.36万元，主要用于综合治理、扫黑除恶、维护稳定、普法教育、综合协管员、退役再就业；社会管理专项事务83.16万元，主要用于党建、人大、政协、武装、纪检、、文明创建、其他社会管理事务；其他事务216.73万元，主要用于预备费、社区国资非税收入返还、其他人员工资福利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bookmarkStart w:id="9" w:name="_Hlk107646415"/>
      <w:r>
        <w:rPr>
          <w:rFonts w:eastAsia="黑体"/>
          <w:color w:val="auto"/>
          <w:sz w:val="32"/>
          <w:szCs w:val="32"/>
          <w:highlight w:val="none"/>
        </w:rPr>
        <w:t>五、政府性基金预算支出</w:t>
      </w:r>
    </w:p>
    <w:bookmarkEnd w:id="9"/>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auto"/>
          <w:sz w:val="32"/>
          <w:szCs w:val="32"/>
          <w:highlight w:val="none"/>
        </w:rPr>
      </w:pPr>
      <w:bookmarkStart w:id="10" w:name="_Hlk107646450"/>
      <w:r>
        <w:rPr>
          <w:rFonts w:eastAsia="黑体"/>
          <w:color w:val="auto"/>
          <w:sz w:val="32"/>
          <w:szCs w:val="32"/>
          <w:highlight w:val="none"/>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r>
        <w:rPr>
          <w:rFonts w:hint="eastAsia" w:ascii="仿宋" w:hAnsi="仿宋" w:eastAsia="仿宋" w:cs="仿宋"/>
          <w:b/>
          <w:color w:val="auto"/>
          <w:sz w:val="32"/>
          <w:szCs w:val="32"/>
          <w:highlight w:val="none"/>
        </w:rPr>
        <w:t>（一）机关运行经费：</w:t>
      </w:r>
      <w:bookmarkEnd w:id="10"/>
      <w:r>
        <w:rPr>
          <w:rFonts w:hint="eastAsia" w:ascii="仿宋" w:hAnsi="仿宋" w:eastAsia="仿宋" w:cs="仿宋"/>
          <w:bCs/>
          <w:color w:val="auto"/>
          <w:sz w:val="32"/>
          <w:szCs w:val="32"/>
          <w:highlight w:val="none"/>
        </w:rPr>
        <w:t>2021年财政拨款预算机关运行经费196.93万元，比2020年预算增加9.37万元，增加5%。主要原因是人员净增长相应公用经费增长。</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bookmarkStart w:id="11" w:name="_Hlk107646465"/>
      <w:r>
        <w:rPr>
          <w:rFonts w:hint="eastAsia" w:ascii="仿宋" w:hAnsi="仿宋" w:eastAsia="仿宋" w:cs="仿宋"/>
          <w:b/>
          <w:color w:val="auto"/>
          <w:sz w:val="32"/>
          <w:szCs w:val="32"/>
          <w:highlight w:val="none"/>
        </w:rPr>
        <w:t>（二）“三公”经费预算：</w:t>
      </w:r>
      <w:bookmarkEnd w:id="11"/>
      <w:r>
        <w:rPr>
          <w:rFonts w:hint="eastAsia" w:ascii="仿宋" w:hAnsi="仿宋" w:eastAsia="仿宋" w:cs="仿宋"/>
          <w:bCs/>
          <w:color w:val="auto"/>
          <w:sz w:val="32"/>
          <w:szCs w:val="32"/>
          <w:highlight w:val="none"/>
        </w:rPr>
        <w:t>2021年“三公”经费预算数为1万元，其中，公务接待费1万元，公务用车购置及运行费0万元（其中，公务用车购置费0万元，公务用车运行费0万元），因公出国（境）费0万元。2021年“三公”经费预算与2020年减少1万元，主要原因为缩减了公务接待费支出 。</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kern w:val="0"/>
          <w:sz w:val="32"/>
          <w:szCs w:val="32"/>
          <w:highlight w:val="none"/>
        </w:rPr>
      </w:pPr>
      <w:bookmarkStart w:id="12" w:name="_Hlk107646542"/>
      <w:r>
        <w:rPr>
          <w:rFonts w:hint="eastAsia" w:ascii="仿宋" w:hAnsi="仿宋" w:eastAsia="仿宋" w:cs="仿宋"/>
          <w:b/>
          <w:color w:val="auto"/>
          <w:sz w:val="32"/>
          <w:szCs w:val="32"/>
          <w:highlight w:val="none"/>
        </w:rPr>
        <w:t>（三）一般性支出情况：</w:t>
      </w:r>
      <w:r>
        <w:rPr>
          <w:rFonts w:hint="eastAsia" w:ascii="仿宋" w:hAnsi="仿宋" w:eastAsia="仿宋" w:cs="仿宋"/>
          <w:bCs/>
          <w:color w:val="auto"/>
          <w:sz w:val="32"/>
          <w:szCs w:val="32"/>
          <w:highlight w:val="none"/>
          <w:u w:val="none"/>
        </w:rPr>
        <w:t>2021</w:t>
      </w:r>
      <w:r>
        <w:rPr>
          <w:rFonts w:hint="eastAsia" w:ascii="仿宋" w:hAnsi="仿宋" w:eastAsia="仿宋" w:cs="仿宋"/>
          <w:color w:val="auto"/>
          <w:kern w:val="0"/>
          <w:sz w:val="32"/>
          <w:szCs w:val="32"/>
          <w:highlight w:val="none"/>
          <w:u w:val="none"/>
        </w:rPr>
        <w:t>年本部门会议费预算</w:t>
      </w:r>
      <w:r>
        <w:rPr>
          <w:rFonts w:hint="eastAsia" w:ascii="仿宋" w:hAnsi="仿宋" w:eastAsia="仿宋" w:cs="仿宋"/>
          <w:color w:val="auto"/>
          <w:sz w:val="32"/>
          <w:szCs w:val="32"/>
          <w:highlight w:val="none"/>
          <w:u w:val="none"/>
          <w:lang w:val="en-US" w:eastAsia="zh-CN"/>
        </w:rPr>
        <w:t>2</w:t>
      </w:r>
      <w:r>
        <w:rPr>
          <w:rFonts w:hint="eastAsia" w:ascii="仿宋" w:hAnsi="仿宋" w:eastAsia="仿宋" w:cs="仿宋"/>
          <w:color w:val="auto"/>
          <w:kern w:val="0"/>
          <w:sz w:val="32"/>
          <w:szCs w:val="32"/>
          <w:highlight w:val="none"/>
          <w:u w:val="none"/>
        </w:rPr>
        <w:t>万元，拟召开</w:t>
      </w:r>
      <w:r>
        <w:rPr>
          <w:rFonts w:hint="eastAsia" w:ascii="仿宋" w:hAnsi="仿宋" w:eastAsia="仿宋" w:cs="仿宋"/>
          <w:color w:val="auto"/>
          <w:sz w:val="32"/>
          <w:szCs w:val="32"/>
          <w:highlight w:val="none"/>
          <w:u w:val="none"/>
          <w:lang w:val="en-US" w:eastAsia="zh-CN"/>
        </w:rPr>
        <w:t>年度总结工作</w:t>
      </w:r>
      <w:r>
        <w:rPr>
          <w:rFonts w:hint="eastAsia" w:ascii="仿宋" w:hAnsi="仿宋" w:eastAsia="仿宋" w:cs="仿宋"/>
          <w:color w:val="auto"/>
          <w:kern w:val="0"/>
          <w:sz w:val="32"/>
          <w:szCs w:val="32"/>
          <w:highlight w:val="none"/>
          <w:u w:val="none"/>
        </w:rPr>
        <w:t>会议，人数</w:t>
      </w:r>
      <w:r>
        <w:rPr>
          <w:rFonts w:hint="eastAsia" w:ascii="仿宋" w:hAnsi="仿宋" w:eastAsia="仿宋" w:cs="仿宋"/>
          <w:color w:val="auto"/>
          <w:sz w:val="32"/>
          <w:szCs w:val="32"/>
          <w:highlight w:val="none"/>
          <w:u w:val="none"/>
          <w:lang w:val="en-US" w:eastAsia="zh-CN"/>
        </w:rPr>
        <w:t>200</w:t>
      </w:r>
      <w:r>
        <w:rPr>
          <w:rFonts w:hint="eastAsia" w:ascii="仿宋" w:hAnsi="仿宋" w:eastAsia="仿宋" w:cs="仿宋"/>
          <w:color w:val="auto"/>
          <w:kern w:val="0"/>
          <w:sz w:val="32"/>
          <w:szCs w:val="32"/>
          <w:highlight w:val="none"/>
          <w:u w:val="none"/>
        </w:rPr>
        <w:t>人，内容为年度工作总结及表彰先进；培训费预算</w:t>
      </w:r>
      <w:r>
        <w:rPr>
          <w:rFonts w:hint="eastAsia" w:ascii="仿宋" w:hAnsi="仿宋" w:eastAsia="仿宋" w:cs="仿宋"/>
          <w:color w:val="auto"/>
          <w:sz w:val="32"/>
          <w:szCs w:val="32"/>
          <w:highlight w:val="none"/>
          <w:u w:val="none"/>
          <w:lang w:val="en-US" w:eastAsia="zh-CN"/>
        </w:rPr>
        <w:t>2</w:t>
      </w:r>
      <w:r>
        <w:rPr>
          <w:rFonts w:hint="eastAsia" w:ascii="仿宋" w:hAnsi="仿宋" w:eastAsia="仿宋" w:cs="仿宋"/>
          <w:color w:val="auto"/>
          <w:kern w:val="0"/>
          <w:sz w:val="32"/>
          <w:szCs w:val="32"/>
          <w:highlight w:val="none"/>
          <w:u w:val="none"/>
        </w:rPr>
        <w:t>万元，拟开展</w:t>
      </w:r>
      <w:r>
        <w:rPr>
          <w:rFonts w:hint="eastAsia" w:ascii="仿宋" w:hAnsi="仿宋" w:eastAsia="仿宋" w:cs="仿宋"/>
          <w:color w:val="auto"/>
          <w:sz w:val="32"/>
          <w:szCs w:val="32"/>
          <w:highlight w:val="none"/>
          <w:u w:val="none"/>
          <w:lang w:val="en-US" w:eastAsia="zh-CN"/>
        </w:rPr>
        <w:t>党员教育</w:t>
      </w:r>
      <w:r>
        <w:rPr>
          <w:rFonts w:hint="eastAsia" w:ascii="仿宋" w:hAnsi="仿宋" w:eastAsia="仿宋" w:cs="仿宋"/>
          <w:color w:val="auto"/>
          <w:kern w:val="0"/>
          <w:sz w:val="32"/>
          <w:szCs w:val="32"/>
          <w:highlight w:val="none"/>
          <w:u w:val="none"/>
        </w:rPr>
        <w:t>培训，人数</w:t>
      </w:r>
      <w:r>
        <w:rPr>
          <w:rFonts w:hint="eastAsia" w:ascii="仿宋" w:hAnsi="仿宋" w:eastAsia="仿宋" w:cs="仿宋"/>
          <w:color w:val="auto"/>
          <w:sz w:val="32"/>
          <w:szCs w:val="32"/>
          <w:highlight w:val="none"/>
          <w:u w:val="none"/>
          <w:lang w:val="en-US" w:eastAsia="zh-CN"/>
        </w:rPr>
        <w:t>299</w:t>
      </w:r>
      <w:r>
        <w:rPr>
          <w:rFonts w:hint="eastAsia" w:ascii="仿宋" w:hAnsi="仿宋" w:eastAsia="仿宋" w:cs="仿宋"/>
          <w:color w:val="auto"/>
          <w:kern w:val="0"/>
          <w:sz w:val="32"/>
          <w:szCs w:val="32"/>
          <w:highlight w:val="none"/>
          <w:u w:val="none"/>
        </w:rPr>
        <w:t>人，内容为</w:t>
      </w:r>
      <w:r>
        <w:rPr>
          <w:rFonts w:hint="eastAsia" w:ascii="仿宋" w:hAnsi="仿宋" w:eastAsia="仿宋" w:cs="仿宋"/>
          <w:color w:val="auto"/>
          <w:sz w:val="32"/>
          <w:szCs w:val="32"/>
          <w:highlight w:val="none"/>
          <w:u w:val="none"/>
          <w:lang w:val="en-US" w:eastAsia="zh-CN"/>
        </w:rPr>
        <w:t>基层党员教育培训</w:t>
      </w:r>
      <w:r>
        <w:rPr>
          <w:rFonts w:hint="eastAsia" w:ascii="仿宋" w:hAnsi="仿宋" w:eastAsia="仿宋" w:cs="仿宋"/>
          <w:color w:val="auto"/>
          <w:sz w:val="32"/>
          <w:szCs w:val="32"/>
          <w:highlight w:val="none"/>
          <w:u w:val="none"/>
        </w:rPr>
        <w:t xml:space="preserve"> </w:t>
      </w:r>
      <w:r>
        <w:rPr>
          <w:rFonts w:hint="eastAsia" w:ascii="仿宋" w:hAnsi="仿宋" w:eastAsia="仿宋" w:cs="仿宋"/>
          <w:color w:val="auto"/>
          <w:kern w:val="0"/>
          <w:sz w:val="32"/>
          <w:szCs w:val="32"/>
          <w:highlight w:val="none"/>
          <w:u w:val="none"/>
        </w:rPr>
        <w:t>；</w:t>
      </w:r>
      <w:r>
        <w:rPr>
          <w:rFonts w:hint="eastAsia" w:ascii="仿宋" w:hAnsi="仿宋" w:eastAsia="仿宋" w:cs="仿宋"/>
          <w:color w:val="auto"/>
          <w:kern w:val="0"/>
          <w:sz w:val="32"/>
          <w:szCs w:val="32"/>
          <w:highlight w:val="none"/>
          <w:u w:val="none"/>
          <w:lang w:val="en-US" w:eastAsia="zh-CN"/>
        </w:rPr>
        <w:t>未</w:t>
      </w:r>
      <w:r>
        <w:rPr>
          <w:rFonts w:hint="eastAsia" w:ascii="仿宋" w:hAnsi="仿宋" w:eastAsia="仿宋" w:cs="仿宋"/>
          <w:color w:val="auto"/>
          <w:kern w:val="0"/>
          <w:sz w:val="32"/>
          <w:szCs w:val="32"/>
          <w:highlight w:val="none"/>
          <w:u w:val="none"/>
        </w:rPr>
        <w:t>举办节庆、晚会、论坛、赛事活动，经费预算</w:t>
      </w:r>
      <w:r>
        <w:rPr>
          <w:rFonts w:hint="eastAsia" w:ascii="仿宋" w:hAnsi="仿宋" w:eastAsia="仿宋" w:cs="仿宋"/>
          <w:color w:val="auto"/>
          <w:kern w:val="0"/>
          <w:sz w:val="32"/>
          <w:szCs w:val="32"/>
          <w:highlight w:val="none"/>
          <w:u w:val="none"/>
          <w:lang w:val="en-US" w:eastAsia="zh-CN"/>
        </w:rPr>
        <w:t>0</w:t>
      </w:r>
      <w:r>
        <w:rPr>
          <w:rFonts w:hint="eastAsia" w:ascii="仿宋" w:hAnsi="仿宋" w:eastAsia="仿宋" w:cs="仿宋"/>
          <w:color w:val="auto"/>
          <w:kern w:val="0"/>
          <w:sz w:val="32"/>
          <w:szCs w:val="32"/>
          <w:highlight w:val="none"/>
          <w:u w:val="none"/>
        </w:rPr>
        <w:t>万元。</w:t>
      </w:r>
    </w:p>
    <w:bookmarkEnd w:id="12"/>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bookmarkStart w:id="13" w:name="_Hlk107646562"/>
      <w:r>
        <w:rPr>
          <w:rFonts w:hint="eastAsia" w:ascii="仿宋" w:hAnsi="仿宋" w:eastAsia="仿宋" w:cs="仿宋"/>
          <w:b/>
          <w:color w:val="auto"/>
          <w:sz w:val="32"/>
          <w:szCs w:val="32"/>
          <w:highlight w:val="none"/>
        </w:rPr>
        <w:t>（四）政府采购情况：</w:t>
      </w:r>
      <w:bookmarkEnd w:id="13"/>
      <w:r>
        <w:rPr>
          <w:rFonts w:hint="eastAsia" w:ascii="仿宋" w:hAnsi="仿宋" w:eastAsia="仿宋" w:cs="仿宋"/>
          <w:bCs/>
          <w:color w:val="auto"/>
          <w:sz w:val="32"/>
          <w:szCs w:val="32"/>
          <w:highlight w:val="none"/>
        </w:rPr>
        <w:t>2021年开福区新河街道办事处单位政府采购预算总额55万元，其中：政府采购货物预算55万元、政府采购工程预算0万元、政府采购服务预算0万元。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bookmarkStart w:id="14" w:name="_Hlk107651348"/>
      <w:r>
        <w:rPr>
          <w:rFonts w:hint="eastAsia" w:ascii="仿宋" w:hAnsi="仿宋" w:eastAsia="仿宋" w:cs="仿宋"/>
          <w:b/>
          <w:color w:val="auto"/>
          <w:sz w:val="32"/>
          <w:szCs w:val="32"/>
          <w:highlight w:val="none"/>
        </w:rPr>
        <w:t>（五）国有资产占用使用及新增资产配置情况：</w:t>
      </w:r>
      <w:bookmarkEnd w:id="14"/>
      <w:r>
        <w:rPr>
          <w:rFonts w:hint="eastAsia" w:ascii="仿宋" w:hAnsi="仿宋" w:eastAsia="仿宋" w:cs="仿宋"/>
          <w:bCs/>
          <w:color w:val="auto"/>
          <w:sz w:val="32"/>
          <w:szCs w:val="32"/>
          <w:highlight w:val="none"/>
        </w:rPr>
        <w:t>截至2020年12月31日，长沙市新河街道办事处共有车辆14辆，一般公务用车0辆，洒水车3辆，其他用车辆11辆，其他用车主要是四座巡逻车和两轮电动巡逻车。单位价值50万元以上通用设备0台（套），单位价值100万元以上专用设备0台（套）。</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2021年一般公共预算未安排购置车辆，未安排购置单位价值50万元以上的通用设备台（套）及单位价值100万元以上的专用设备台（套）。</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textAlignment w:val="auto"/>
        <w:rPr>
          <w:rFonts w:ascii="仿宋" w:hAnsi="仿宋" w:eastAsia="仿宋" w:cs="仿宋"/>
          <w:bCs/>
          <w:color w:val="auto"/>
          <w:sz w:val="32"/>
          <w:szCs w:val="32"/>
          <w:highlight w:val="none"/>
        </w:rPr>
      </w:pPr>
      <w:bookmarkStart w:id="15" w:name="_Hlk107651385"/>
      <w:r>
        <w:rPr>
          <w:rFonts w:hint="eastAsia" w:ascii="仿宋" w:hAnsi="仿宋" w:eastAsia="仿宋" w:cs="仿宋"/>
          <w:b/>
          <w:bCs/>
          <w:color w:val="auto"/>
          <w:sz w:val="32"/>
          <w:szCs w:val="32"/>
          <w:highlight w:val="none"/>
        </w:rPr>
        <w:t>（六）预算绩效目标说明：</w:t>
      </w:r>
      <w:bookmarkEnd w:id="15"/>
      <w:r>
        <w:rPr>
          <w:rFonts w:hint="eastAsia" w:ascii="仿宋" w:hAnsi="仿宋" w:eastAsia="仿宋" w:cs="仿宋"/>
          <w:bCs/>
          <w:color w:val="auto"/>
          <w:sz w:val="32"/>
          <w:szCs w:val="32"/>
          <w:highlight w:val="none"/>
        </w:rPr>
        <w:t>按照区本级预算绩效管理工作的总体要求，2021年开福区新河街道办事处整体支出5074.27万元，其中：基本支出1847.78万元，项目支出3226.49万元。全部实行整体支出绩效目标管理，涉及一般公共预算当年拨款2527.56万元。编报绩效目标的项目5个，涉及项目支出</w:t>
      </w:r>
      <w:r>
        <w:rPr>
          <w:rFonts w:hint="eastAsia" w:ascii="仿宋" w:hAnsi="仿宋" w:eastAsia="仿宋" w:cs="仿宋"/>
          <w:bCs/>
          <w:color w:val="auto"/>
          <w:sz w:val="32"/>
          <w:szCs w:val="32"/>
          <w:highlight w:val="none"/>
          <w:lang w:val="en-US" w:eastAsia="zh-CN"/>
        </w:rPr>
        <w:t>3226.49</w:t>
      </w:r>
      <w:r>
        <w:rPr>
          <w:rFonts w:hint="eastAsia" w:ascii="仿宋" w:hAnsi="仿宋" w:eastAsia="仿宋" w:cs="仿宋"/>
          <w:bCs/>
          <w:color w:val="auto"/>
          <w:sz w:val="32"/>
          <w:szCs w:val="32"/>
          <w:highlight w:val="none"/>
        </w:rPr>
        <w:t>万元，其中：社会管理工作</w:t>
      </w:r>
      <w:r>
        <w:rPr>
          <w:rFonts w:hint="eastAsia" w:ascii="仿宋" w:hAnsi="仿宋" w:eastAsia="仿宋" w:cs="仿宋"/>
          <w:bCs/>
          <w:color w:val="auto"/>
          <w:sz w:val="32"/>
          <w:szCs w:val="32"/>
          <w:highlight w:val="none"/>
          <w:lang w:val="en-US" w:eastAsia="zh-CN"/>
        </w:rPr>
        <w:t>214.77</w:t>
      </w:r>
      <w:r>
        <w:rPr>
          <w:rFonts w:hint="eastAsia" w:ascii="仿宋" w:hAnsi="仿宋" w:eastAsia="仿宋" w:cs="仿宋"/>
          <w:bCs/>
          <w:color w:val="auto"/>
          <w:sz w:val="32"/>
          <w:szCs w:val="32"/>
          <w:highlight w:val="none"/>
        </w:rPr>
        <w:t>万元，城管工作</w:t>
      </w:r>
      <w:r>
        <w:rPr>
          <w:rFonts w:hint="eastAsia" w:ascii="仿宋" w:hAnsi="仿宋" w:eastAsia="仿宋" w:cs="仿宋"/>
          <w:bCs/>
          <w:color w:val="auto"/>
          <w:sz w:val="32"/>
          <w:szCs w:val="32"/>
          <w:highlight w:val="none"/>
        </w:rPr>
        <w:t>993.5</w:t>
      </w:r>
      <w:r>
        <w:rPr>
          <w:rFonts w:hint="eastAsia" w:ascii="仿宋" w:hAnsi="仿宋" w:eastAsia="仿宋" w:cs="仿宋"/>
          <w:bCs/>
          <w:color w:val="auto"/>
          <w:sz w:val="32"/>
          <w:szCs w:val="32"/>
          <w:highlight w:val="none"/>
          <w:lang w:val="en-US" w:eastAsia="zh-CN"/>
        </w:rPr>
        <w:t>6</w:t>
      </w:r>
      <w:r>
        <w:rPr>
          <w:rFonts w:hint="eastAsia" w:ascii="仿宋" w:hAnsi="仿宋" w:eastAsia="仿宋" w:cs="仿宋"/>
          <w:bCs/>
          <w:color w:val="auto"/>
          <w:sz w:val="32"/>
          <w:szCs w:val="32"/>
          <w:highlight w:val="none"/>
        </w:rPr>
        <w:t>万元，公共安全工作346.46万元，公共服务工作1394.97万元，其他工作276.73万元。全部实行项目支出绩效目标管理，涉及一般公共预算当年拨款679.78万元。</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color w:val="auto"/>
          <w:sz w:val="32"/>
          <w:szCs w:val="32"/>
          <w:highlight w:val="none"/>
        </w:rPr>
      </w:pPr>
      <w:bookmarkStart w:id="16" w:name="_Hlk107651622"/>
      <w:bookmarkStart w:id="17" w:name="_Hlk107646680"/>
      <w:r>
        <w:rPr>
          <w:rFonts w:eastAsia="黑体"/>
          <w:color w:val="auto"/>
          <w:sz w:val="32"/>
          <w:szCs w:val="32"/>
          <w:highlight w:val="none"/>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color w:val="auto"/>
          <w:sz w:val="32"/>
          <w:szCs w:val="32"/>
          <w:highlight w:val="none"/>
        </w:rPr>
      </w:pPr>
      <w:bookmarkStart w:id="18" w:name="_Hlk107644018"/>
      <w:r>
        <w:rPr>
          <w:rFonts w:hint="eastAsia" w:ascii="仿宋" w:hAnsi="仿宋" w:eastAsia="仿宋" w:cs="仿宋"/>
          <w:color w:val="auto"/>
          <w:sz w:val="32"/>
          <w:szCs w:val="32"/>
          <w:highlight w:val="none"/>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bookmarkEnd w:id="18"/>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ascii="黑体" w:hAnsi="黑体" w:eastAsia="黑体" w:cs="黑体"/>
          <w:b/>
          <w:bCs/>
          <w:color w:val="auto"/>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highlight w:val="none"/>
        </w:rPr>
      </w:pPr>
      <w:r>
        <w:rPr>
          <w:rFonts w:hint="eastAsia" w:ascii="黑体" w:hAnsi="黑体" w:eastAsia="黑体" w:cs="黑体"/>
          <w:b/>
          <w:color w:val="auto"/>
          <w:kern w:val="0"/>
          <w:sz w:val="44"/>
          <w:szCs w:val="44"/>
          <w:highlight w:val="none"/>
        </w:rPr>
        <w:t>第二部分 2021年部门预算表</w:t>
      </w:r>
    </w:p>
    <w:bookmarkEnd w:id="16"/>
    <w:bookmarkEnd w:id="17"/>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color w:val="auto"/>
          <w:sz w:val="32"/>
          <w:szCs w:val="32"/>
          <w:highlight w:val="none"/>
        </w:rPr>
      </w:pPr>
    </w:p>
    <w:p>
      <w:pPr>
        <w:rPr>
          <w:rFonts w:ascii="仿宋" w:hAnsi="仿宋" w:eastAsia="仿宋" w:cs="仿宋"/>
          <w:color w:val="auto"/>
          <w:sz w:val="32"/>
          <w:szCs w:val="32"/>
          <w:highlight w:val="none"/>
        </w:rPr>
      </w:pPr>
    </w:p>
    <w:p>
      <w:pPr>
        <w:pStyle w:val="5"/>
        <w:widowControl/>
        <w:spacing w:before="24" w:beforeAutospacing="0" w:after="24" w:afterAutospacing="0" w:line="432" w:lineRule="atLeast"/>
        <w:ind w:firstLine="640" w:firstLineChars="200"/>
        <w:rPr>
          <w:rFonts w:ascii="仿宋" w:hAnsi="仿宋" w:eastAsia="仿宋" w:cs="仿宋"/>
          <w:bCs/>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ZTIwY2Y4ZGMwMWQ4ZDBlZmE4ZGE0N2U3MGU5NzUifQ=="/>
  </w:docVars>
  <w:rsids>
    <w:rsidRoot w:val="3C870C92"/>
    <w:rsid w:val="000671D9"/>
    <w:rsid w:val="00181681"/>
    <w:rsid w:val="00331AE1"/>
    <w:rsid w:val="003C0BAF"/>
    <w:rsid w:val="005978DC"/>
    <w:rsid w:val="00A62A0D"/>
    <w:rsid w:val="00D03156"/>
    <w:rsid w:val="00DB2171"/>
    <w:rsid w:val="00F96BD2"/>
    <w:rsid w:val="00FF6685"/>
    <w:rsid w:val="07395651"/>
    <w:rsid w:val="0AA54ECA"/>
    <w:rsid w:val="30A94E4C"/>
    <w:rsid w:val="3C870C92"/>
    <w:rsid w:val="58ED6E9F"/>
    <w:rsid w:val="6E3411E8"/>
    <w:rsid w:val="76AD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3339</Words>
  <Characters>3631</Characters>
  <Lines>26</Lines>
  <Paragraphs>7</Paragraphs>
  <TotalTime>3</TotalTime>
  <ScaleCrop>false</ScaleCrop>
  <LinksUpToDate>false</LinksUpToDate>
  <CharactersWithSpaces>3636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2022-06-28T15:33:00Z</dcterms:created>
  <dc:creator>燕子</dc:creator>
  <cp:lastModifiedBy>Administrator</cp:lastModifiedBy>
  <dcterms:modified xsi:type="dcterms:W3CDTF">2022-08-19T02:45:39Z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ACEED7E2B9744B35BF0B9587594192E6</vt:lpwstr>
  </property>
</Properties>
</file>