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2021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年度重点项目绩效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自评报告</w:t>
      </w:r>
    </w:p>
    <w:p>
      <w:pPr>
        <w:spacing w:line="560" w:lineRule="exact"/>
        <w:outlineLvl w:val="0"/>
        <w:rPr>
          <w:rFonts w:eastAsia="黑体"/>
          <w:kern w:val="0"/>
          <w:sz w:val="32"/>
          <w:szCs w:val="32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color w:val="auto"/>
          <w:sz w:val="32"/>
          <w:szCs w:val="32"/>
          <w:lang w:eastAsia="zh-CN"/>
        </w:rPr>
        <w:t>重点</w:t>
      </w:r>
      <w:r>
        <w:rPr>
          <w:rFonts w:hint="eastAsia" w:eastAsia="黑体"/>
          <w:sz w:val="32"/>
          <w:szCs w:val="32"/>
        </w:rPr>
        <w:t>项目支出</w:t>
      </w:r>
      <w:r>
        <w:rPr>
          <w:rFonts w:eastAsia="黑体"/>
          <w:sz w:val="32"/>
          <w:szCs w:val="32"/>
        </w:rPr>
        <w:t>基本情况</w:t>
      </w:r>
    </w:p>
    <w:p>
      <w:pPr>
        <w:pStyle w:val="2"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2021年本单位重点项目</w:t>
      </w:r>
      <w:r>
        <w:rPr>
          <w:rFonts w:hint="eastAsia"/>
          <w:sz w:val="32"/>
          <w:szCs w:val="32"/>
          <w:lang w:val="en-US" w:eastAsia="zh-CN"/>
        </w:rPr>
        <w:t>2个，分别为社会管理项目、公共服务项目；年初预算分别为876.24万元、1201.6万元；实际支出分别为1583.77万元、1626.9万元。</w:t>
      </w:r>
    </w:p>
    <w:p>
      <w:pPr>
        <w:numPr>
          <w:ilvl w:val="0"/>
          <w:numId w:val="0"/>
        </w:num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二、重点</w:t>
      </w:r>
      <w:r>
        <w:rPr>
          <w:rFonts w:hint="eastAsia" w:eastAsia="黑体"/>
          <w:sz w:val="32"/>
          <w:szCs w:val="32"/>
        </w:rPr>
        <w:t>项目</w:t>
      </w:r>
      <w:r>
        <w:rPr>
          <w:rFonts w:eastAsia="黑体"/>
          <w:sz w:val="32"/>
          <w:szCs w:val="32"/>
        </w:rPr>
        <w:t>绩效</w:t>
      </w:r>
      <w:r>
        <w:rPr>
          <w:rFonts w:hint="eastAsia" w:eastAsia="黑体"/>
          <w:sz w:val="32"/>
          <w:szCs w:val="32"/>
          <w:lang w:eastAsia="zh-CN"/>
        </w:rPr>
        <w:t>完成情况</w:t>
      </w:r>
    </w:p>
    <w:p>
      <w:pPr>
        <w:numPr>
          <w:ilvl w:val="0"/>
          <w:numId w:val="0"/>
        </w:num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1：社会管理项目</w:t>
      </w:r>
      <w:r>
        <w:rPr>
          <w:rFonts w:hint="eastAsia" w:eastAsia="楷体_GB2312"/>
          <w:sz w:val="32"/>
          <w:szCs w:val="32"/>
          <w:lang w:eastAsia="zh-CN"/>
        </w:rPr>
        <w:t>主要</w:t>
      </w:r>
      <w:r>
        <w:rPr>
          <w:rFonts w:hint="eastAsia" w:eastAsia="楷体_GB2312"/>
          <w:sz w:val="32"/>
          <w:szCs w:val="32"/>
        </w:rPr>
        <w:t>绩效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项目细化内容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绩效目标完成情况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1.基层党建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深化党史学习教育，共开办学习研讨班40余期、理论微宣讲17次。探索构建组织引领、骨干队伍、服务阵地 、制度保障、常态活动“五大体系”，发布基层党建“1+5”系列文件，全年新建6个“两新”党组织，新建7个小区党支部，细化65个网格，建立街道党员干部、社区（村）“两委”干部联网格制度，依托网格化将党建等各项工作真正延伸至基层。深入挖掘并培育辖区先锋模范，在“七一”选树表彰六个方面先进典型。打造全市首家基层组织生活馆、开福家风馆，坚持党建引领物业管理，打造红色物业小区11个，处理物业问题100余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2.人大、政协等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面完成人大代表、党代表换届工作；在春节期间对辖区留长新疆籍少数民族人员进行走访，了解其需求并建立台账。对非法传教和境外渗透进行常态化摸排；组织机关离退休老干部召开了2021年度街情通报会及组织生活会，全力做好退休干部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3.文明创建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秀峰街道庆祝中国共产党成立100周年表彰大会上对“六个一”系列活动培养选树出来的14名（支）优秀党员志愿服务队，4名秀峰好人、4户秀峰五好家庭等好人典型进行表彰，让群众身边的“平民英雄”倍受推崇；开福区家风馆在湘民社区公共服务中心开馆，家风好故事、身边好典型，以群众喜闻乐见的方式在家风馆展示。承办各类文明实践活动8次，社风民风悄然改变；组织开展“爱护母亲河 水域大清扫”、“百日奋战，扮靓星城”、高考护考、疫情防控、铲冰除雪等志愿服务活动50余场、媒体宣传15次，群众参与750人次；圆满完成文明创建迎国检、典范城市测评等工作。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4.宣传工作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常态抓好省委巡视整改意见，街道工委挂账督办，实现全部问题清零；按照“六个纳入”要求，细分10个方面每季度对社区（村）进行测评，强化基层党组织书记抓意识形态责任担当；在文创“百日竞赛”中，率先完成2家文化企业入规指标，全街完成313条版权登记作品任务数，超额完成任务；严守7大阵地，每月对意识形态重点人群及重点阵地进行分析研判和隐患排查，把握倾向性苗头性问题，加强网络意识形态阵地建设管理，全年共处置150余条不实舆情；在《决策咨询》、湖南日报、长沙晚报等权威刊物、媒体重点推介秀峰工作，累计宣传报道45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5.党政综合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常态化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展督查通报，全年共计出16期，对重点工作专项通报；做好档案整理工作，共完成2020年全年的文书档案89盒的整理、录入工作，录入档案目录1363条，纸质档案扫描4074页。做好妇女维权工作，保障妇女权益，完成妇女报刊征订工作，今日女报完成10份，中国妇运完成2份，中国妇女、婚姻与家庭各完成征订一份。继续做好安康保险购买续订工作，共计完成购买保费70679元。加快打造秀峰商圈，率先在全区成立招商办，全年新增市场主体2828家，楼宇去化7387.97㎡。高岭商贸城新增招商面积7.52万㎡，小商品城转型升级“香江国际汽车城”，理想汽车、宝之杰名车、国合快车、长城欧拉等汽车品牌强势入驻。长沙银行产业基地、1094“长沙北中心”、中石化湖南总公司新大楼等一批重大项目落地兴建，发展动能不断增强，税收、固投、社零等经济指标位居全区前列。领导班子率先垂范，全体干部积极响应，组建重大项目工作专班，帮助解决3个楼盘复工复产难题，护航28个建设项目顺利实施。按时间节点要求按时办结12345工单，办结工单3733笔，办结率达到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6.综治维稳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1、秀峰街道化解遗留个案问题5户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2、全年未发生涉访极端恶性事件，达到零非访的工作目标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7.综合治理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1、开展2次扫黑除恶大型宣传活动，形成常态宣传摸排及综合治理模式；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2、全年共印制并发放反电诈宣传资料37000余份，借助新冠疫苗接种的契机，在新冠疫苗接种现场面对面宣传8500余人次；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3、全年对辖区内219栋高层建筑进行了消防安全排查，完成70余家“多合一”场所注册登记；全年开展1次消防培训，1次消防演习,1次社区（村）微型消防站竞赛；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4、全年组织辖区居民到禁毒教育基地参观学习9次；开展禁毒宣传活动30场（其中媒体报告18篇）；联合新港派出所、各社区（村）开展禁毒清查行动16次；打造了街道禁毒长廊及宣传角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5、全年开展2次以上普法学习活动及培训；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8.纪工委工作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2021年，纪工委积极开展党风廉政宣传活动，在省、市主流媒体上稿8篇。上报问题线索20余条，全年办理违纪案件6件，处理党员干部6人。其中，给予1人留党察看一年，3人党内警告，2人免予党纪处分、责令书面检查的处理。全年开展节假日作风纪律、环境整治、安全生产等各类督查48次。圆满完成各项目标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9.安全生产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加强辖区内安全生产监督管理，重点抓好企业安全生产，下达限期责令整改通知书10份，开展执法检查8家，共计罚款2万元。2022年全年未发生一起安全生产事故。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10.非税返还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保障街道机关和8个社区（村）运转支出，确保各项工作任务的完成。</w:t>
            </w:r>
          </w:p>
        </w:tc>
      </w:tr>
    </w:tbl>
    <w:p>
      <w:pPr>
        <w:pStyle w:val="2"/>
        <w:ind w:firstLine="0" w:firstLineChars="0"/>
        <w:jc w:val="both"/>
        <w:rPr>
          <w:rFonts w:hint="eastAsia"/>
        </w:rPr>
      </w:pP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eastAsia="楷体_GB2312"/>
          <w:bCs/>
          <w:sz w:val="32"/>
          <w:szCs w:val="32"/>
          <w:lang w:val="en-US" w:eastAsia="zh-CN"/>
        </w:rPr>
        <w:t>2</w:t>
      </w:r>
      <w:r>
        <w:rPr>
          <w:rFonts w:hint="eastAsia" w:eastAsia="楷体_GB2312"/>
          <w:bCs/>
          <w:sz w:val="32"/>
          <w:szCs w:val="32"/>
        </w:rPr>
        <w:t>：公共服务</w:t>
      </w:r>
      <w:r>
        <w:rPr>
          <w:rFonts w:hint="eastAsia" w:eastAsia="楷体_GB2312"/>
          <w:sz w:val="32"/>
          <w:szCs w:val="32"/>
        </w:rPr>
        <w:t>项目</w:t>
      </w:r>
      <w:r>
        <w:rPr>
          <w:rFonts w:hint="eastAsia" w:eastAsia="楷体_GB2312"/>
          <w:sz w:val="32"/>
          <w:szCs w:val="32"/>
          <w:lang w:eastAsia="zh-CN"/>
        </w:rPr>
        <w:t>主要</w:t>
      </w:r>
      <w:r>
        <w:rPr>
          <w:rFonts w:hint="eastAsia" w:eastAsia="楷体_GB2312"/>
          <w:sz w:val="32"/>
          <w:szCs w:val="32"/>
        </w:rPr>
        <w:t>绩效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项目细化内容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绩效目标完成情况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1.社会服务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截止2020年12月城市帮扶已完成274户，发放帮扶资金共计58万元，2021年区级未下拨城市帮扶资金，故2021年未开展此项工作；2021年临时救助22户，发放救助金4.63万元；残疾人两项补贴12月发放170人；2021年春节慰问446人，慰问金额33.9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2.老龄服务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高龄津贴老人416人，全年共发放高龄津贴532300元；居家养老政府购买18人，全年服务费合计82100元。满意度达到99%。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3.拥军优抚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优抚对象101人，全年共发放优抚优待生活补助费466955元，保障率100%；退役军人、重点优抚对象八一慰问101人慰问金80800元；帮助安置下岗再就业志愿兵4人。满意度达到99%。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4.卫建事务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展无偿献血2次，两癌筛查502人，优检55对，四项手术费保效率100%，流动人口卫生计生基本公共服务率95%以上，流动人口采集率95%，避孕节育措施落实准确率100%。不发生重大传染病聚集性疫情或暴发疫情、传染病防控重大负面舆情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5.文体、教育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文化站建设、建党100周年组织开展群众文化、体育活动和社区教育。群众满意度达到80%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6.政务服务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、2021年互联网+政务服务一体化平台的推广工作：平台填报实施清单事项421项，发布率100%。本街政务服务事项216项：行政权力154项，公共服务62项。全年权责清单填报156项，发布率100%。一网通办全年录入数7057件，线上申办件12件。2、2021年通过全街各级、各部门联动有效宣传，“一件事一次办”微信小程序推广数1488人。通过“一件事一次办”、“帮代办”、“一门式服务”为辖区居民有效服务达8000多次。3、街道自行或联合区劳动监察大队持续开展检查，督促项目单位落实保障农民工工资支付的各项制度。有关拖欠农民工工资的12345投诉，街道都积极组织各相关方进行了协调处理，欠薪投诉平台上属于我街道的线索，我们都及时进行了核实处理，有效化解了矛盾。4、对就业、社保等各项政策进行了线上线下的宣传。5、住房保障工作：2021年办理公共租赁住房申请2户，获批1户，办理棚户区改造安置补贴申请34户，获批32户。服务群众满意度达到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7.社会就业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2021年3月24日上午，我街道在兴联社区母山小区厚德广场隆重举办了“社企共建聚合力，服务民生促发展”2021年“春风行动”秀峰街道专场招聘会；2021年我街道共计开办41个培训班，其中18个技能培训班，共计培训900人，23个创业培训班，共计培训700人，完成以工代训1221人，全年共计培训2021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8.社会救助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2021年城乡困难居民医疗救助共计救助79人次，累计救助金额569745元。精神病人住院救助6人次，药物救助36人。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9.劳动保障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完成了新增就业岗位550个；按区人社局的要求按时、按质做好了就业各项台账工作；做好了街道和9个社区的基层公共平台建设工作；为失业人员办理就业创业证563本，认定就业困难对象168人，为366人名就业困难人员办理社保补贴85万元，为69名今年毕业的高校毕业生提供了就业服务，就业率达100%，为自主创业人员办理小额担保贷款20万元，为5名就业困难人员办理公益性岗位、社保补贴8万余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10.两保工作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2021年城乡居民养老保险参保人数5022人，缴费金额63.94万元，60岁以上领取待遇人数1370人。城乡居民医保缴费人数1.2万人，缴费金额336万元。城乡居民养老、医保保险参保率基本达到了全覆盖。为31名死亡的居民养老保险参保人员办理了丧葬补助金；为1000多居民养老保险待遇领取人通过社保一体机、手机APP进行了生存认证；为979位企业退休老人进行了生存认证。为行动不便人员上门服务；对退休人员进行走访慰问和困难救助；我街道有竹隐、兴联、湘民3所老年大学，为退休人员组织开展了丰富多彩的文化体育健身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11.退役军人工作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已完成退役军人服务站“五有”建设，居民满意。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12.社区工作经费、惠民资金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2021年区级下拨社区工作经费共计732.84万元，街道已全部下拨给社区；2021年区级下拨惠民资金共计152万元，街道已全部下拨给社区。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13.食品安全</w:t>
            </w:r>
          </w:p>
        </w:tc>
        <w:tc>
          <w:tcPr>
            <w:tcW w:w="7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已加强宣传、监督、检查等各项工作，及时上报安全事项，落实各项安全管理措施，确保全年不发生一起食品安全事故。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相关问题和建议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</w:pPr>
      <w:r>
        <w:rPr>
          <w:rFonts w:eastAsia="仿宋_GB2312"/>
          <w:color w:val="000000"/>
          <w:kern w:val="2"/>
          <w:sz w:val="32"/>
          <w:szCs w:val="32"/>
          <w:lang w:val="en-US" w:eastAsia="zh-CN" w:bidi="ar-SA"/>
        </w:rPr>
        <w:t>加强财务核算工作，提高财务的精细化管理，确保财务核算的真实、及时、准确、完整。</w:t>
      </w:r>
      <w:r>
        <w:rPr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重点分析项目预算编制的合理性、成本支出的真实性和控制有效性，评价财政资金的使用效率和效果，为以后年度编制项目预算、选择项目实施主体等提供参考依据。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NjMjhlNTE1MTQzYzUzYTcyOTc0MjY2ZGMzNjQifQ=="/>
  </w:docVars>
  <w:rsids>
    <w:rsidRoot w:val="00000000"/>
    <w:rsid w:val="00141B40"/>
    <w:rsid w:val="009028BB"/>
    <w:rsid w:val="0D7D6DA4"/>
    <w:rsid w:val="0DA84A87"/>
    <w:rsid w:val="141F0F5C"/>
    <w:rsid w:val="188B2EA5"/>
    <w:rsid w:val="2B103D66"/>
    <w:rsid w:val="353E284C"/>
    <w:rsid w:val="380C44A9"/>
    <w:rsid w:val="38EF5336"/>
    <w:rsid w:val="398B3947"/>
    <w:rsid w:val="3A4027F4"/>
    <w:rsid w:val="3A8950BF"/>
    <w:rsid w:val="48923AC6"/>
    <w:rsid w:val="4F23174A"/>
    <w:rsid w:val="4F263632"/>
    <w:rsid w:val="55B843B0"/>
    <w:rsid w:val="57B436F5"/>
    <w:rsid w:val="5AD0101F"/>
    <w:rsid w:val="687F7AE6"/>
    <w:rsid w:val="720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60" w:lineRule="auto"/>
      <w:jc w:val="center"/>
    </w:pPr>
    <w:rPr>
      <w:rFonts w:ascii="Times New Roman" w:hAnsi="Times New Roman" w:eastAsia="华文中宋"/>
      <w:bCs/>
      <w:sz w:val="42"/>
      <w:szCs w:val="44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3690</Words>
  <Characters>4042</Characters>
  <Lines>0</Lines>
  <Paragraphs>0</Paragraphs>
  <TotalTime>3</TotalTime>
  <ScaleCrop>false</ScaleCrop>
  <LinksUpToDate>false</LinksUpToDate>
  <CharactersWithSpaces>4048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</cp:lastModifiedBy>
  <dcterms:modified xsi:type="dcterms:W3CDTF">2022-10-14T01:59:11Z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AB9C6759E07946D6AC92E2F5AD486BF8</vt:lpwstr>
  </property>
</Properties>
</file>