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宋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重点项目绩效自评情况</w:t>
      </w:r>
    </w:p>
    <w:p>
      <w:pPr>
        <w:spacing w:line="560" w:lineRule="exact"/>
        <w:outlineLvl w:val="0"/>
        <w:rPr>
          <w:rFonts w:eastAsia="黑体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</w:rPr>
        <w:t>重点项目支出</w:t>
      </w:r>
      <w:r>
        <w:rPr>
          <w:rFonts w:ascii="仿宋" w:hAnsi="仿宋" w:eastAsia="仿宋"/>
          <w:b/>
          <w:bCs/>
          <w:sz w:val="32"/>
          <w:szCs w:val="32"/>
        </w:rPr>
        <w:t>基本情况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/>
          <w:b/>
          <w:bCs/>
          <w:sz w:val="32"/>
          <w:szCs w:val="32"/>
        </w:rPr>
        <w:t>重点项目支出</w:t>
      </w:r>
      <w:r>
        <w:rPr>
          <w:rFonts w:ascii="仿宋" w:hAnsi="仿宋" w:eastAsia="仿宋"/>
          <w:b/>
          <w:bCs/>
          <w:sz w:val="32"/>
          <w:szCs w:val="32"/>
        </w:rPr>
        <w:t>资金概况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本单位重点项目2个，分别为社会管理项目、公共管理项目，实际支出分别为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255.42</w:t>
      </w:r>
      <w:r>
        <w:rPr>
          <w:rFonts w:hint="eastAsia" w:ascii="仿宋" w:hAnsi="仿宋" w:eastAsia="仿宋"/>
          <w:sz w:val="32"/>
          <w:szCs w:val="32"/>
        </w:rPr>
        <w:t>万元、1524.85万元。具体情况如下：</w:t>
      </w:r>
    </w:p>
    <w:p>
      <w:pPr>
        <w:spacing w:line="56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105"/>
        <w:gridCol w:w="1333"/>
        <w:gridCol w:w="875"/>
        <w:gridCol w:w="900"/>
        <w:gridCol w:w="967"/>
        <w:gridCol w:w="130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社会管理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长沙市开福区伍家岭街道办事处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长沙市开福区伍家岭街道办事处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255.42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313.4%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239.25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16.17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全年开展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次主题党日活动；组织2次退休老干活动；全年召开8次及以上大型工作会议；开展1次及以上人民武装（民兵）训练；每月按时发放综治协管员工资、缴纳社保；召开4次及以上司法工作会议；党员教育覆盖率达到100%；全年发生0次重大群体性上访事件；开展4次及以上法制讲座等培训；开展1次及以上文体活动。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上半年完成新建两新党支部37家，覆盖企业、组织134家，在华创打造一家“外卖快递小哥红色之家”，顺达国际物流党支部入选第一批区级“标杆引领”党组织。新增入党积极分子16名，新增入党申请人12名，发展成为中共预备党员6名，转为中共正式党员12名，开展党员集中教育培训3次。联合辖区共建单位开展反诈、禁毒宣传活动46场，制作反电诈宣传视频3个，发放宣传资料1万余份；践行“人民+行政+司法”的三级联动调解机制，排查调解纠纷100余起，调处成功率达100%。今年共向上报网络舆情风险点55个、阵地风险隐患15个，成功处置上级交办网络舆情25起。充分挖掘“中国好人”邓学东、退役老干部、“银发先锋”等身边榜样，积极开展“讲文明树新风”“学雷锋志愿服务”等一系列主题活动30余次，推介宣传在疫情防控、优化营商环境、民生实事等中心工作中的先进典型，在省、市、区主流媒体上稿190余篇。全力做好信访维稳工作，严格落实“五包一”稳控制度，去年来彻底化解3个信访问题，在全国两会等特护期全街实现了零进京、零非访的工作目标，确保党的二十大胜利召开。组织禁毒清查整治行动12余次、禁毒宣传及活动近100余场，发放反电诈宣传小卡片25400多张、张贴温馨提示18000张、辖区内电诈案件明显下降；组织禁毒、道路交通等各类会议培训16场次。成功调处各类矛盾纠纷200余起，调解纠纷91件，一般纠纷11件，疑难复杂纠纷1件，重大纠纷1件，简易纠纷78件。调处率达100％，调处成功率达100％，履行率100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主题党日活动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组织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退休老干活动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召开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大型会议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民兵训练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发放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综治协管员工资、社保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召开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司法工作会议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党员教育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工作覆盖率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重大群体性上访事件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法制讲座等培训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受疫情影响开展培训活动受限。组织开展法制培训，印制宣传海报，组织干部进行法律学习及考试。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文体活动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党建党政工作达标率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综合治理工作达标率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综合治理工作及时率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党建党政工作及时率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成本节约率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61.06%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基层党建工作顺利开展，爱党爱国蔚然成风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社会秩序安定，保障群众利益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社会公众满意度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6"/>
        <w:gridCol w:w="1087"/>
        <w:gridCol w:w="1508"/>
        <w:gridCol w:w="917"/>
        <w:gridCol w:w="1070"/>
        <w:gridCol w:w="846"/>
        <w:gridCol w:w="107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8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长沙市开福区伍家岭街道办事处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长沙市开福区伍家岭街道办事处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1524.85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2772.45%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1524.85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组织1次无偿献血活动，各项社会保障资金发放率达到100%，全年发生0次新冠肺炎疫情及传染病；全年按季度分4次下拨各社区惠民资金；按月下拨社区工作经费；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发放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转业志愿兵和转业士官工资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；12345便民服务热线投诉办结率达100%；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计生保险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家庭意外保险覆盖率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达100%；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2次及以上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劳动就业培训或招聘会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2次及以上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应急救护培训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12345便民服务热线累计受理工单4277件，满意率97.48%，问题解决率86.69%，年度及时联系率100%。全面推行“岭哥岭姐帮代办”便民服务，建立了12个就近为群众提供服务的网格综合服务点，共代理各项服务事项287件，群众满意率100%，真正实现了“小网格、全服务、大民生”。全力支持大众创新创业，年度城镇新增就业908人，完成率103%。组织创业培训35人，全面完成培训任务。对离校未就业高校毕业生开展“311”就业服务，11月跟踪回访率和就业服务率均达到100%，就业率99.21%。欠薪线索核查处理率100%。将便民服务中心主动靠前，创新打造便民服务“移动窗口”新模式，以社区“网格综合服务点”为依托，将11项政务服务事项前移至网格综合服务点。1-11月帮扶城市特殊困难群体63户12.74万元；大病救助21人6.58万元；临时救助5人1.28万元。做好低保动态管理，目前全街有低保户数290户403人，1-11月共发放补助262.39万元，持续做好住房保障惠民生工作。今年共计完成采样2.04万人次。截止11月20日，60岁及以上人群首针接种11609人，接种覆盖率为91.24%；全程接种人数10998人，接种覆盖率为86.44%。18岁以上人群加强免疫针已接种26211人，加强针接种比例78.41%。全力以赴做好汇聚隔离酒店疫情防控工作，汇聚隔离酒店今年累计隔离人员3000多人，确保了辖区疫情防控大局的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无偿献血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社会保障工作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发放率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疫情及传染病防控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按季度下拨至各社区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惠民资金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每月按时下拨各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社区工作经费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发放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转业志愿兵和转业士官工资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12345热线服务工作办结率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计生保险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家庭意外保险覆盖率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开展劳动就业培训或招聘会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开展应急救护培训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卫生健康工作达标率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社会保障工作达标率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社会保障工作及时率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卫生健康工作及时率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成本节约率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-11.21%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受疫情影响疫情防控及帮扶支出增加。严格按照预算支出，厉行节约。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辖区卫生健康整体状况良好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辖区社会保障整体状况良好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社会公众满意度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重点</w:t>
      </w:r>
      <w:r>
        <w:rPr>
          <w:rFonts w:hint="eastAsia" w:ascii="仿宋" w:hAnsi="仿宋" w:eastAsia="仿宋"/>
          <w:b/>
          <w:bCs/>
          <w:sz w:val="32"/>
          <w:szCs w:val="32"/>
        </w:rPr>
        <w:t>项目绩效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</w:t>
      </w:r>
      <w:r>
        <w:rPr>
          <w:rFonts w:hint="eastAsia" w:ascii="仿宋" w:hAnsi="仿宋" w:eastAsia="仿宋"/>
          <w:b/>
          <w:bCs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1、社会管理项目主要绩效：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上半年完成新建两新党支部37家，覆盖企业、组织134家，在华创打造一家“外卖快递小哥红色之家”，顺达国际物流党支部入选第一批区级“标杆引领”党组织。新增入党积极分子16名，新增入党申请人12名，发展成为中共预备党员6名，转为中共正式党员12名，开展党员集中教育培训3次。联合辖区共建单位开展反诈、禁毒宣传活动46场，制作反电诈宣传视频3个，发放宣传资料1万余份；践行“人民+行政+司法”的三级联动调解机制，排查调解纠纷100余起，调处成功率达100%。今年共向上报网络舆情风险点55个、阵地风险隐患15个，成功处置上级交办网络舆情25起。充分挖掘“中国好人”邓学东、退役老干部、“银发先锋”等身边榜样，积极开展“讲文明树新风”“学雷锋志愿服务”等一系列主题活动30余次，推介宣传在疫情防控、优化营商环境、民生实事等中心工作中的先进典型，在省、市、区主流媒体上稿190余篇。全力做好信访维稳工作，严格落实“五包一”稳控制度，去年来彻底化解3个信访问题，在全国两会等特护期全街实现了零进京、零非访的工作目标，确保党的二十大胜利召开。组织禁毒清查整治行动12余次、禁毒宣传及活动近100余场，发放反电诈宣传小卡片25400多张、张贴温馨提示18000张、辖区内电诈案件明显下降；组织禁毒、道路交通等各类会议培训16场次。成功调处各类矛盾纠纷200余起，调解纠纷91件，一般纠纷11件，疑难复杂纠纷1件，重大纠纷1件，简易纠纷78件。调处率达100％，调处成功率达100％，履行率100％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公共服务项目主要绩效：</w:t>
      </w:r>
    </w:p>
    <w:p>
      <w:pPr>
        <w:spacing w:line="56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12345便民服务热线累计受理工单4277件，满意率97.48%，问题解决率86.69%，年度及时联系率100%。全面推行“岭哥岭姐帮代办”便民服务，建立了12个就近为群众提供服务的网格综合服务点，共代理各项服务事项287件，群众满意率100%，真正实现了“小网格、全服务、大民生”。全力支持大众创新创业，年度城镇新增就业908人，完成率103%。组织创业培训35人，全面完成培训任务。对离校未就业高校毕业生开展“311”就业服务，11月跟踪回访率和就业服务率均达到100%，就业率99.21%。欠薪线索核查处理率100%。将便民服务中心主动靠前，创新打造便民服务“移动窗口”新模式，以社区“网格综合服务点”为依托，将11项政务服务事项前移至网格综合服务点。1-11月帮扶城市特殊困难群体63户12.74万元；大病救助21人6.58万元；临时救助5人1.28万元。做好低保动态管理，目前全街有低保户数290户403人，1-11月共发放补助262.39万元，持续做好住房保障惠民生工作。今年共计完成采样2.04万人次。截止11月20日，60岁及以上人群首针接种11609人，接种覆盖率为91.24%；全程接种人数10998人，接种覆盖率为86.44%。18岁以上人群加强免疫针已接种26211人，加强针接种比例78.41%。全力以赴做好汇聚隔离酒店疫情防控工作，汇聚隔离酒店今年累计隔离人员3000多人，确保了辖区疫情防控大局的稳定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三、存在问题和改进措施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（一）存在问题：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主要存在实际开支时项目资金高于预算的问题。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社会管理项目支出年初预算数与年终决算数相差1</w:t>
      </w:r>
      <w:r>
        <w:rPr>
          <w:rFonts w:hint="eastAsia" w:cs="Times New Roman"/>
          <w:sz w:val="32"/>
          <w:szCs w:val="32"/>
          <w:lang w:val="en-US" w:eastAsia="zh-CN"/>
        </w:rPr>
        <w:t>73.92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</w:t>
      </w:r>
      <w:r>
        <w:rPr>
          <w:rFonts w:hint="eastAsia" w:cs="Times New Roman"/>
          <w:sz w:val="32"/>
          <w:szCs w:val="32"/>
          <w:lang w:val="en-US" w:eastAsia="zh-CN"/>
        </w:rPr>
        <w:t>公共服务项目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支出年初预算数与年终决算数相差1</w:t>
      </w:r>
      <w:r>
        <w:rPr>
          <w:rFonts w:hint="eastAsia" w:cs="Times New Roman"/>
          <w:sz w:val="32"/>
          <w:szCs w:val="32"/>
          <w:lang w:val="en-US" w:eastAsia="zh-CN"/>
        </w:rPr>
        <w:t>469.85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主要原因是年初预算是根据街道体制控制来编制，重点保障常规项目支出及基本运转，未能全面预计当年收支情况，预算数未与街道实际项目支出相匹配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而决算</w:t>
      </w:r>
      <w:r>
        <w:rPr>
          <w:rFonts w:hint="eastAsia" w:cs="Times New Roman"/>
          <w:sz w:val="32"/>
          <w:szCs w:val="32"/>
          <w:lang w:val="en-US" w:eastAsia="zh-CN"/>
        </w:rPr>
        <w:t>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是</w:t>
      </w:r>
      <w:r>
        <w:rPr>
          <w:rFonts w:hint="eastAsia" w:cs="Times New Roman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当年实际项目</w:t>
      </w:r>
      <w:r>
        <w:rPr>
          <w:rFonts w:hint="eastAsia" w:cs="Times New Roman"/>
          <w:sz w:val="32"/>
          <w:szCs w:val="32"/>
          <w:lang w:val="en-US" w:eastAsia="zh-CN"/>
        </w:rPr>
        <w:t>收支数核算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，包含</w:t>
      </w:r>
      <w:r>
        <w:rPr>
          <w:rFonts w:hint="eastAsia" w:cs="Times New Roman"/>
          <w:sz w:val="32"/>
          <w:szCs w:val="32"/>
          <w:lang w:val="en-US" w:eastAsia="zh-CN"/>
        </w:rPr>
        <w:t>上级部门追加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项目预算及专项拨款，</w:t>
      </w:r>
      <w:r>
        <w:rPr>
          <w:rFonts w:hint="eastAsia" w:cs="Times New Roman"/>
          <w:sz w:val="32"/>
          <w:szCs w:val="32"/>
          <w:lang w:val="en-US" w:eastAsia="zh-CN"/>
        </w:rPr>
        <w:t>街道项目支出同步增加，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因此与年初预算数有较大差异。 </w:t>
      </w:r>
    </w:p>
    <w:p>
      <w:pPr>
        <w:spacing w:line="56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（二）改进措施：</w:t>
      </w:r>
    </w:p>
    <w:p>
      <w:pPr>
        <w:spacing w:line="56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会继续积极参加各类培训，提高对绩效评价工作重要性的认识，坚决树立绩效管理理念；使项目编制更加符合绩效评价相关要求；同时进一步提高绩效评价工作方式、方法，将已完成的所有工作绩效成果充分体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BA3284"/>
    <w:multiLevelType w:val="singleLevel"/>
    <w:tmpl w:val="F2BA328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jQ2NDcxMDQyNDE1ZTljM2U3ZjkxMDU3YmVjYzYifQ=="/>
  </w:docVars>
  <w:rsids>
    <w:rsidRoot w:val="2A9F7C97"/>
    <w:rsid w:val="0D640136"/>
    <w:rsid w:val="1F990E28"/>
    <w:rsid w:val="2A9F7C97"/>
    <w:rsid w:val="6D4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8">
    <w:name w:val="BodyText1I"/>
    <w:basedOn w:val="9"/>
    <w:qFormat/>
    <w:uiPriority w:val="0"/>
    <w:pPr>
      <w:spacing w:after="120"/>
      <w:ind w:firstLine="420" w:firstLineChars="100"/>
      <w:jc w:val="both"/>
      <w:textAlignment w:val="baseline"/>
    </w:pPr>
    <w:rPr>
      <w:szCs w:val="24"/>
    </w:rPr>
  </w:style>
  <w:style w:type="paragraph" w:customStyle="1" w:styleId="9">
    <w:name w:val="BodyText"/>
    <w:basedOn w:val="1"/>
    <w:next w:val="8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2023-10-12T06:57:00Z</dcterms:created>
  <dc:creator>马柔</dc:creator>
  <cp:lastModifiedBy>马柔</cp:lastModifiedBy>
  <dcterms:modified xsi:type="dcterms:W3CDTF">2023-10-13T03:01:22Z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15D9927A138C462E80BE9775633B1E01_11</vt:lpwstr>
  </property>
</Properties>
</file>