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tabs>
          <w:tab w:val="center" w:pos="4213"/>
          <w:tab w:val="right" w:pos="8306"/>
        </w:tabs>
        <w:spacing w:line="600" w:lineRule="exact"/>
        <w:jc w:val="center"/>
        <w:rPr>
          <w:rFonts w:hint="eastAsia" w:hAnsi="黑体"/>
          <w:color w:val="auto"/>
          <w:sz w:val="44"/>
          <w:szCs w:val="44"/>
          <w:lang w:val="en-US" w:eastAsia="zh-CN"/>
        </w:rPr>
      </w:pPr>
      <w:r>
        <w:rPr>
          <w:rFonts w:hint="eastAsia" w:hAnsi="黑体"/>
          <w:color w:val="auto"/>
          <w:sz w:val="44"/>
          <w:szCs w:val="44"/>
          <w:lang w:val="en-US" w:eastAsia="zh-CN"/>
        </w:rPr>
        <w:t>2022</w:t>
      </w:r>
      <w:r>
        <w:rPr>
          <w:rFonts w:hint="eastAsia" w:hAnsi="黑体"/>
          <w:color w:val="auto"/>
          <w:sz w:val="44"/>
          <w:szCs w:val="44"/>
          <w:lang w:val="en-US" w:eastAsia="zh-CN"/>
        </w:rPr>
        <w:t>年度</w:t>
      </w:r>
      <w:r>
        <w:rPr>
          <w:rFonts w:hint="eastAsia" w:hAnsi="黑体"/>
          <w:color w:val="auto"/>
          <w:sz w:val="44"/>
          <w:szCs w:val="44"/>
          <w:lang w:val="en-US" w:eastAsia="zh-CN"/>
        </w:rPr>
        <w:t>伍家岭街道办事处</w:t>
      </w:r>
    </w:p>
    <w:p>
      <w:pPr>
        <w:pStyle w:val="9"/>
        <w:tabs>
          <w:tab w:val="center" w:pos="4213"/>
          <w:tab w:val="right" w:pos="8306"/>
        </w:tabs>
        <w:spacing w:line="600" w:lineRule="exact"/>
        <w:jc w:val="center"/>
        <w:rPr>
          <w:rFonts w:hint="eastAsia" w:hAnsi="黑体"/>
          <w:color w:val="auto"/>
          <w:sz w:val="44"/>
          <w:szCs w:val="44"/>
        </w:rPr>
      </w:pPr>
      <w:r>
        <w:rPr>
          <w:rFonts w:hint="eastAsia" w:hAnsi="黑体"/>
          <w:color w:val="auto"/>
          <w:sz w:val="44"/>
          <w:szCs w:val="44"/>
        </w:rPr>
        <w:t>部门整体</w:t>
      </w:r>
      <w:r>
        <w:rPr>
          <w:rFonts w:hint="eastAsia" w:hAnsi="黑体"/>
          <w:color w:val="auto"/>
          <w:sz w:val="44"/>
          <w:szCs w:val="44"/>
          <w:lang w:val="en-US" w:eastAsia="zh-CN"/>
        </w:rPr>
        <w:t>支</w:t>
      </w:r>
      <w:r>
        <w:rPr>
          <w:rFonts w:hint="eastAsia" w:hAnsi="黑体"/>
          <w:color w:val="auto"/>
          <w:sz w:val="44"/>
          <w:szCs w:val="44"/>
        </w:rPr>
        <w:t>出绩效</w:t>
      </w:r>
      <w:r>
        <w:rPr>
          <w:rFonts w:hint="eastAsia" w:hAnsi="黑体"/>
          <w:color w:val="auto"/>
          <w:sz w:val="44"/>
          <w:szCs w:val="44"/>
          <w:lang w:val="en-US" w:eastAsia="zh-CN"/>
        </w:rPr>
        <w:t>评价</w:t>
      </w:r>
      <w:r>
        <w:rPr>
          <w:rFonts w:hint="eastAsia" w:hAnsi="黑体"/>
          <w:color w:val="auto"/>
          <w:sz w:val="44"/>
          <w:szCs w:val="44"/>
        </w:rPr>
        <w:t>报告</w:t>
      </w:r>
    </w:p>
    <w:p>
      <w:pPr>
        <w:widowControl/>
        <w:spacing w:line="600" w:lineRule="exact"/>
        <w:ind w:firstLine="640" w:firstLineChars="200"/>
        <w:jc w:val="left"/>
        <w:rPr>
          <w:rFonts w:hint="eastAsia" w:hAnsi="黑体"/>
          <w:color w:val="auto"/>
          <w:sz w:val="44"/>
          <w:szCs w:val="44"/>
        </w:rPr>
      </w:pPr>
      <w:r>
        <w:rPr>
          <w:rFonts w:hint="eastAsia" w:ascii="仿宋" w:hAnsi="仿宋" w:eastAsia="仿宋"/>
          <w:sz w:val="32"/>
          <w:szCs w:val="32"/>
        </w:rPr>
        <w:t>为进一步规范财政资金管理，强化部门责任意识，切实提高财政资金使用效益，根据财政部及的有关规定，我街道积极参与对2022年度部门整体支出绩效评价的工作，现将具体的情况报告如下:</w:t>
      </w:r>
      <w:bookmarkStart w:id="0" w:name="_GoBack"/>
      <w:bookmarkEnd w:id="0"/>
    </w:p>
    <w:p>
      <w:pPr>
        <w:spacing w:line="600" w:lineRule="exact"/>
        <w:ind w:firstLine="640" w:firstLineChars="200"/>
        <w:rPr>
          <w:rFonts w:eastAsia="黑体"/>
          <w:sz w:val="32"/>
          <w:szCs w:val="32"/>
        </w:rPr>
      </w:pPr>
      <w:r>
        <w:rPr>
          <w:rFonts w:eastAsia="黑体"/>
          <w:sz w:val="32"/>
          <w:szCs w:val="32"/>
        </w:rPr>
        <w:t>一、基本情况</w:t>
      </w:r>
    </w:p>
    <w:p>
      <w:pPr>
        <w:spacing w:line="600" w:lineRule="exact"/>
        <w:ind w:firstLine="643" w:firstLineChars="200"/>
        <w:rPr>
          <w:rFonts w:eastAsia="楷体_GB2312"/>
          <w:b/>
          <w:sz w:val="32"/>
          <w:szCs w:val="32"/>
        </w:rPr>
      </w:pPr>
      <w:r>
        <w:rPr>
          <w:rFonts w:eastAsia="楷体_GB2312"/>
          <w:b/>
          <w:sz w:val="32"/>
          <w:szCs w:val="32"/>
        </w:rPr>
        <w:t>（一）部门基本情况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hint="eastAsia" w:ascii="Times New Roman" w:hAnsi="Times New Roman" w:cs="Times New Roman"/>
          <w:color w:val="000000" w:themeColor="text1"/>
          <w:kern w:val="2"/>
          <w:sz w:val="32"/>
          <w:szCs w:val="32"/>
          <w:lang w:val="en-US" w:eastAsia="zh-CN" w:bidi="ar-SA"/>
          <w14:textFill>
            <w14:solidFill>
              <w14:schemeClr w14:val="tx1"/>
            </w14:solidFill>
          </w14:textFill>
        </w:rPr>
        <w:t>1.</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主要职能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中共长沙市开福区伍家岭街道工作委员会作为中共长沙市开福区委员会的派出机关，领导本地区经济、政治、文化、社会、生态文明建设等各项工作和基层社会治理；长沙市开福区伍家岭街道办事处依法行使政府管理和服务职能。主要职责是：</w:t>
      </w:r>
      <w:r>
        <w:rPr>
          <w:rFonts w:hint="eastAsia" w:cs="Times New Roman"/>
          <w:color w:val="000000" w:themeColor="text1"/>
          <w:kern w:val="2"/>
          <w:sz w:val="32"/>
          <w:szCs w:val="32"/>
          <w:lang w:val="en-US" w:eastAsia="zh-CN" w:bidi="ar-SA"/>
          <w14:textFill>
            <w14:solidFill>
              <w14:schemeClr w14:val="tx1"/>
            </w14:solidFill>
          </w14:textFill>
        </w:rPr>
        <w:t>（1）</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加强党的建设。</w:t>
      </w:r>
      <w:r>
        <w:rPr>
          <w:rFonts w:hint="eastAsia" w:cs="Times New Roman"/>
          <w:color w:val="000000" w:themeColor="text1"/>
          <w:kern w:val="2"/>
          <w:sz w:val="32"/>
          <w:szCs w:val="32"/>
          <w:lang w:val="en-US" w:eastAsia="zh-CN" w:bidi="ar-SA"/>
          <w14:textFill>
            <w14:solidFill>
              <w14:schemeClr w14:val="tx1"/>
            </w14:solidFill>
          </w14:textFill>
        </w:rPr>
        <w:t>（2）</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统筹区域发展。</w:t>
      </w:r>
      <w:r>
        <w:rPr>
          <w:rFonts w:hint="eastAsia" w:cs="Times New Roman"/>
          <w:color w:val="000000" w:themeColor="text1"/>
          <w:kern w:val="2"/>
          <w:sz w:val="32"/>
          <w:szCs w:val="32"/>
          <w:lang w:val="en-US" w:eastAsia="zh-CN" w:bidi="ar-SA"/>
          <w14:textFill>
            <w14:solidFill>
              <w14:schemeClr w14:val="tx1"/>
            </w14:solidFill>
          </w14:textFill>
        </w:rPr>
        <w:t>（3）</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组织公共服务。</w:t>
      </w:r>
      <w:r>
        <w:rPr>
          <w:rFonts w:hint="eastAsia" w:cs="Times New Roman"/>
          <w:color w:val="000000" w:themeColor="text1"/>
          <w:kern w:val="2"/>
          <w:sz w:val="32"/>
          <w:szCs w:val="32"/>
          <w:lang w:val="en-US" w:eastAsia="zh-CN" w:bidi="ar-SA"/>
          <w14:textFill>
            <w14:solidFill>
              <w14:schemeClr w14:val="tx1"/>
            </w14:solidFill>
          </w14:textFill>
        </w:rPr>
        <w:t>（4）</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实施公共管理。</w:t>
      </w:r>
      <w:r>
        <w:rPr>
          <w:rFonts w:hint="eastAsia" w:cs="Times New Roman"/>
          <w:color w:val="000000" w:themeColor="text1"/>
          <w:kern w:val="2"/>
          <w:sz w:val="32"/>
          <w:szCs w:val="32"/>
          <w:lang w:val="en-US" w:eastAsia="zh-CN" w:bidi="ar-SA"/>
          <w14:textFill>
            <w14:solidFill>
              <w14:schemeClr w14:val="tx1"/>
            </w14:solidFill>
          </w14:textFill>
        </w:rPr>
        <w:t>（5）</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维护公共安全。</w:t>
      </w:r>
      <w:r>
        <w:rPr>
          <w:rFonts w:hint="eastAsia" w:cs="Times New Roman"/>
          <w:color w:val="000000" w:themeColor="text1"/>
          <w:kern w:val="2"/>
          <w:sz w:val="32"/>
          <w:szCs w:val="32"/>
          <w:lang w:val="en-US" w:eastAsia="zh-CN" w:bidi="ar-SA"/>
          <w14:textFill>
            <w14:solidFill>
              <w14:schemeClr w14:val="tx1"/>
            </w14:solidFill>
          </w14:textFill>
        </w:rPr>
        <w:t>（6）</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监督执法管理。</w:t>
      </w:r>
      <w:r>
        <w:rPr>
          <w:rFonts w:hint="eastAsia" w:cs="Times New Roman"/>
          <w:color w:val="000000" w:themeColor="text1"/>
          <w:kern w:val="2"/>
          <w:sz w:val="32"/>
          <w:szCs w:val="32"/>
          <w:lang w:val="en-US" w:eastAsia="zh-CN" w:bidi="ar-SA"/>
          <w14:textFill>
            <w14:solidFill>
              <w14:schemeClr w14:val="tx1"/>
            </w14:solidFill>
          </w14:textFill>
        </w:rPr>
        <w:t>（7）</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动员社会参与。</w:t>
      </w:r>
      <w:r>
        <w:rPr>
          <w:rFonts w:hint="eastAsia" w:cs="Times New Roman"/>
          <w:color w:val="000000" w:themeColor="text1"/>
          <w:kern w:val="2"/>
          <w:sz w:val="32"/>
          <w:szCs w:val="32"/>
          <w:lang w:val="en-US" w:eastAsia="zh-CN" w:bidi="ar-SA"/>
          <w14:textFill>
            <w14:solidFill>
              <w14:schemeClr w14:val="tx1"/>
            </w14:solidFill>
          </w14:textFill>
        </w:rPr>
        <w:t>（8）</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保障社区自治。</w:t>
      </w:r>
      <w:r>
        <w:rPr>
          <w:rFonts w:hint="eastAsia" w:cs="Times New Roman"/>
          <w:color w:val="000000" w:themeColor="text1"/>
          <w:kern w:val="2"/>
          <w:sz w:val="32"/>
          <w:szCs w:val="32"/>
          <w:lang w:val="en-US" w:eastAsia="zh-CN" w:bidi="ar-SA"/>
          <w14:textFill>
            <w14:solidFill>
              <w14:schemeClr w14:val="tx1"/>
            </w14:solidFill>
          </w14:textFill>
        </w:rPr>
        <w:t>（9）</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完成区委、区政府交办的其他工作。</w:t>
      </w:r>
      <w:r>
        <w:rPr>
          <w:rFonts w:hint="eastAsia" w:cs="Times New Roman"/>
          <w:color w:val="000000" w:themeColor="text1"/>
          <w:kern w:val="2"/>
          <w:sz w:val="32"/>
          <w:szCs w:val="32"/>
          <w:lang w:val="en-US" w:eastAsia="zh-CN" w:bidi="ar-SA"/>
          <w14:textFill>
            <w14:solidFill>
              <w14:schemeClr w14:val="tx1"/>
            </w14:solidFill>
          </w14:textFill>
        </w:rPr>
        <w:t>（10）</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职能转变：一是取消城区街道招商引资、协税护税职能，将街道工作重心转为优化公共服务，为经济社会发展提供良好的营商环境；二是全面加强基层党的建设，提升党建引领城市基层治理的能力；加强对辖区内城市综合管理工作的组织实施和统筹协调职责；加强辖区内与居民密切相关的行政审批和公共服务的组织实施职责；加强维护辖区公共安全职责。</w:t>
      </w:r>
    </w:p>
    <w:p>
      <w:pPr>
        <w:numPr>
          <w:ilvl w:val="0"/>
          <w:numId w:val="0"/>
        </w:numPr>
        <w:snapToGrid w:val="0"/>
        <w:spacing w:line="520" w:lineRule="exact"/>
        <w:ind w:firstLine="640" w:firstLineChars="200"/>
        <w:rPr>
          <w:rFonts w:hint="eastAsia" w:ascii="仿宋_GB2312" w:hAnsi="仿宋" w:eastAsia="仿宋_GB2312"/>
          <w:sz w:val="32"/>
          <w:szCs w:val="32"/>
        </w:rPr>
      </w:pPr>
      <w:r>
        <w:rPr>
          <w:rFonts w:hint="eastAsia" w:ascii="仿宋_GB2312" w:hAnsi="仿宋"/>
          <w:sz w:val="32"/>
          <w:szCs w:val="32"/>
          <w:lang w:val="en-US" w:eastAsia="zh-CN"/>
        </w:rPr>
        <w:t>2.</w:t>
      </w:r>
      <w:r>
        <w:rPr>
          <w:rFonts w:hint="eastAsia" w:ascii="仿宋_GB2312" w:hAnsi="仿宋" w:eastAsia="仿宋_GB2312"/>
          <w:sz w:val="32"/>
          <w:szCs w:val="32"/>
        </w:rPr>
        <w:t>机构情况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伍家岭街道下辖蒋家垅、陡岭、科大佳园、花城、紫荆园、浏阳河、建湘新村7个社区。</w:t>
      </w:r>
      <w:r>
        <w:rPr>
          <w:rFonts w:hint="eastAsia" w:eastAsia="仿宋_GB2312" w:cs="Times New Roman"/>
          <w:color w:val="000000" w:themeColor="text1"/>
          <w:kern w:val="2"/>
          <w:sz w:val="32"/>
          <w:szCs w:val="32"/>
          <w:lang w:val="en-US" w:eastAsia="zh-CN" w:bidi="ar-SA"/>
          <w14:textFill>
            <w14:solidFill>
              <w14:schemeClr w14:val="tx1"/>
            </w14:solidFill>
          </w14:textFill>
        </w:rPr>
        <w:t>2022</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年街道设党政综合办、基层党建办、城</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市管理办、公共服务办、公共安全办5个内设机构；政务服务中心、网格化综合服务中心、退役军人服务站3个公益一类事业单位；纪检监察、人大工委、人民武装等机构；以及工会、共青团、妇联等组织。</w:t>
      </w:r>
    </w:p>
    <w:p>
      <w:pPr>
        <w:numPr>
          <w:ilvl w:val="0"/>
          <w:numId w:val="0"/>
        </w:numPr>
        <w:snapToGrid w:val="0"/>
        <w:spacing w:line="520" w:lineRule="exact"/>
        <w:ind w:leftChars="200"/>
        <w:rPr>
          <w:rFonts w:hint="eastAsia" w:ascii="仿宋_GB2312" w:hAnsi="仿宋" w:eastAsia="仿宋_GB2312"/>
          <w:sz w:val="32"/>
          <w:szCs w:val="32"/>
        </w:rPr>
      </w:pPr>
      <w:r>
        <w:rPr>
          <w:rFonts w:hint="eastAsia" w:ascii="仿宋_GB2312" w:hAnsi="仿宋"/>
          <w:sz w:val="32"/>
          <w:szCs w:val="32"/>
          <w:lang w:val="en-US" w:eastAsia="zh-CN"/>
        </w:rPr>
        <w:t>3.</w:t>
      </w:r>
      <w:r>
        <w:rPr>
          <w:rFonts w:hint="eastAsia" w:ascii="仿宋_GB2312" w:hAnsi="仿宋" w:eastAsia="仿宋_GB2312"/>
          <w:sz w:val="32"/>
          <w:szCs w:val="32"/>
        </w:rPr>
        <w:t>人员情况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eastAsia="楷体_GB2312"/>
          <w:b/>
          <w:sz w:val="32"/>
          <w:szCs w:val="32"/>
        </w:rPr>
      </w:pPr>
      <w:r>
        <w:rPr>
          <w:rFonts w:hint="eastAsia" w:eastAsia="仿宋_GB2312" w:cs="Times New Roman"/>
          <w:color w:val="000000" w:themeColor="text1"/>
          <w:kern w:val="2"/>
          <w:sz w:val="32"/>
          <w:szCs w:val="32"/>
          <w:lang w:val="en-US" w:eastAsia="zh-CN" w:bidi="ar-SA"/>
          <w14:textFill>
            <w14:solidFill>
              <w14:schemeClr w14:val="tx1"/>
            </w14:solidFill>
          </w14:textFill>
        </w:rPr>
        <w:t>2022</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年末本单位实有在职干部人数</w:t>
      </w:r>
      <w:r>
        <w:rPr>
          <w:rFonts w:hint="eastAsia" w:eastAsia="仿宋_GB2312" w:cs="Times New Roman"/>
          <w:color w:val="000000" w:themeColor="text1"/>
          <w:kern w:val="2"/>
          <w:sz w:val="32"/>
          <w:szCs w:val="32"/>
          <w:lang w:val="en-US" w:eastAsia="zh-CN" w:bidi="ar-SA"/>
          <w14:textFill>
            <w14:solidFill>
              <w14:schemeClr w14:val="tx1"/>
            </w14:solidFill>
          </w14:textFill>
        </w:rPr>
        <w:t>59</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人（含实行编外管理的大中专分配生5人、政策性安置转业士官3人、2000年全区子弟招考大学生1人），退休干部</w:t>
      </w:r>
      <w:r>
        <w:rPr>
          <w:rFonts w:hint="eastAsia" w:eastAsia="仿宋_GB2312" w:cs="Times New Roman"/>
          <w:color w:val="000000" w:themeColor="text1"/>
          <w:kern w:val="2"/>
          <w:sz w:val="32"/>
          <w:szCs w:val="32"/>
          <w:lang w:val="en-US" w:eastAsia="zh-CN" w:bidi="ar-SA"/>
          <w14:textFill>
            <w14:solidFill>
              <w14:schemeClr w14:val="tx1"/>
            </w14:solidFill>
          </w14:textFill>
        </w:rPr>
        <w:t>47</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人，社区退休人员14人（系历史原因形成）。较</w:t>
      </w:r>
      <w:r>
        <w:rPr>
          <w:rFonts w:hint="eastAsia" w:eastAsia="仿宋_GB2312" w:cs="Times New Roman"/>
          <w:color w:val="000000" w:themeColor="text1"/>
          <w:kern w:val="2"/>
          <w:sz w:val="32"/>
          <w:szCs w:val="32"/>
          <w:lang w:val="en-US" w:eastAsia="zh-CN" w:bidi="ar-SA"/>
          <w14:textFill>
            <w14:solidFill>
              <w14:schemeClr w14:val="tx1"/>
            </w14:solidFill>
          </w14:textFill>
        </w:rPr>
        <w:t>2021</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年末人员变化的主要原因是：</w:t>
      </w:r>
      <w:r>
        <w:rPr>
          <w:rFonts w:hint="eastAsia" w:eastAsia="仿宋_GB2312" w:cs="Times New Roman"/>
          <w:color w:val="000000" w:themeColor="text1"/>
          <w:kern w:val="2"/>
          <w:sz w:val="32"/>
          <w:szCs w:val="32"/>
          <w:lang w:val="en-US" w:eastAsia="zh-CN" w:bidi="ar-SA"/>
          <w14:textFill>
            <w14:solidFill>
              <w14:schemeClr w14:val="tx1"/>
            </w14:solidFill>
          </w14:textFill>
        </w:rPr>
        <w:t>有行政人员调出至开福区政府办，故减少1人</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w:t>
      </w:r>
    </w:p>
    <w:p>
      <w:pPr>
        <w:numPr>
          <w:ilvl w:val="0"/>
          <w:numId w:val="1"/>
        </w:numPr>
        <w:spacing w:line="600" w:lineRule="exact"/>
        <w:ind w:firstLine="643" w:firstLineChars="200"/>
        <w:rPr>
          <w:rFonts w:eastAsia="楷体_GB2312"/>
          <w:b/>
          <w:sz w:val="32"/>
          <w:szCs w:val="32"/>
        </w:rPr>
      </w:pPr>
      <w:r>
        <w:rPr>
          <w:rFonts w:eastAsia="楷体_GB2312"/>
          <w:b/>
          <w:sz w:val="32"/>
          <w:szCs w:val="32"/>
        </w:rPr>
        <w:t>部门年度整体支出绩效目标，</w:t>
      </w:r>
      <w:r>
        <w:rPr>
          <w:rFonts w:hint="eastAsia" w:eastAsia="楷体_GB2312"/>
          <w:b/>
          <w:sz w:val="32"/>
          <w:szCs w:val="32"/>
        </w:rPr>
        <w:t>区</w:t>
      </w:r>
      <w:r>
        <w:rPr>
          <w:rFonts w:eastAsia="楷体_GB2312"/>
          <w:b/>
          <w:sz w:val="32"/>
          <w:szCs w:val="32"/>
        </w:rPr>
        <w:t>级专项资金绩效目标、其他项目支出（除</w:t>
      </w:r>
      <w:r>
        <w:rPr>
          <w:rFonts w:hint="eastAsia" w:eastAsia="楷体_GB2312"/>
          <w:b/>
          <w:sz w:val="32"/>
          <w:szCs w:val="32"/>
        </w:rPr>
        <w:t>区</w:t>
      </w:r>
      <w:r>
        <w:rPr>
          <w:rFonts w:eastAsia="楷体_GB2312"/>
          <w:b/>
          <w:sz w:val="32"/>
          <w:szCs w:val="32"/>
        </w:rPr>
        <w:t>级专项资金以外）绩效目标</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color w:val="auto"/>
          <w:spacing w:val="-2"/>
          <w:sz w:val="32"/>
          <w:szCs w:val="32"/>
          <w:lang w:val="en-US" w:eastAsia="zh-CN"/>
        </w:rPr>
      </w:pPr>
      <w:r>
        <w:rPr>
          <w:rFonts w:hint="eastAsia" w:ascii="仿宋_GB2312" w:hAnsi="仿宋" w:eastAsia="仿宋_GB2312" w:cs="Times New Roman"/>
          <w:kern w:val="2"/>
          <w:sz w:val="32"/>
          <w:szCs w:val="32"/>
          <w:lang w:val="en-US" w:eastAsia="zh-CN" w:bidi="ar-SA"/>
        </w:rPr>
        <w:t>1.202</w:t>
      </w:r>
      <w:r>
        <w:rPr>
          <w:rFonts w:hint="eastAsia" w:ascii="仿宋_GB2312" w:hAnsi="仿宋" w:cs="Times New Roman"/>
          <w:kern w:val="2"/>
          <w:sz w:val="32"/>
          <w:szCs w:val="32"/>
          <w:lang w:val="en-US" w:eastAsia="zh-CN" w:bidi="ar-SA"/>
        </w:rPr>
        <w:t>2</w:t>
      </w:r>
      <w:r>
        <w:rPr>
          <w:rFonts w:hint="eastAsia" w:ascii="仿宋_GB2312" w:hAnsi="仿宋" w:eastAsia="仿宋_GB2312" w:cs="Times New Roman"/>
          <w:kern w:val="2"/>
          <w:sz w:val="32"/>
          <w:szCs w:val="32"/>
          <w:lang w:val="en-US" w:eastAsia="zh-CN" w:bidi="ar-SA"/>
        </w:rPr>
        <w:t>年部门整体支出绩效目标分为部门产出指标和部门效益指标。部门产出指标具体设置为：</w:t>
      </w:r>
      <w:r>
        <w:rPr>
          <w:rFonts w:hint="eastAsia" w:ascii="仿宋_GB2312" w:hAnsi="仿宋" w:cs="Times New Roman"/>
          <w:kern w:val="2"/>
          <w:sz w:val="32"/>
          <w:szCs w:val="32"/>
          <w:lang w:val="en-US" w:eastAsia="zh-CN" w:bidi="ar-SA"/>
        </w:rPr>
        <w:t>（1）</w:t>
      </w:r>
      <w:r>
        <w:rPr>
          <w:rFonts w:hint="eastAsia" w:ascii="仿宋_GB2312" w:hAnsi="仿宋" w:eastAsia="仿宋_GB2312" w:cs="Times New Roman"/>
          <w:kern w:val="2"/>
          <w:sz w:val="32"/>
          <w:szCs w:val="32"/>
          <w:lang w:val="en-US" w:eastAsia="zh-CN" w:bidi="ar-SA"/>
        </w:rPr>
        <w:t>质量指标：保障街道机关干部和14名社区退休人员及街道日常支出，确保各项工作任务顺利完成；</w:t>
      </w:r>
      <w:r>
        <w:rPr>
          <w:rFonts w:hint="eastAsia" w:ascii="仿宋_GB2312" w:hAnsi="仿宋" w:cs="Times New Roman"/>
          <w:kern w:val="2"/>
          <w:sz w:val="32"/>
          <w:szCs w:val="32"/>
          <w:lang w:val="en-US" w:eastAsia="zh-CN" w:bidi="ar-SA"/>
        </w:rPr>
        <w:t>（2）</w:t>
      </w:r>
      <w:r>
        <w:rPr>
          <w:rFonts w:hint="eastAsia" w:ascii="仿宋_GB2312" w:hAnsi="仿宋" w:eastAsia="仿宋_GB2312" w:cs="Times New Roman"/>
          <w:kern w:val="2"/>
          <w:sz w:val="32"/>
          <w:szCs w:val="32"/>
          <w:lang w:val="en-US" w:eastAsia="zh-CN" w:bidi="ar-SA"/>
        </w:rPr>
        <w:t>时效指标：202</w:t>
      </w:r>
      <w:r>
        <w:rPr>
          <w:rFonts w:hint="eastAsia" w:ascii="仿宋_GB2312" w:hAnsi="仿宋" w:cs="Times New Roman"/>
          <w:kern w:val="2"/>
          <w:sz w:val="32"/>
          <w:szCs w:val="32"/>
          <w:lang w:val="en-US" w:eastAsia="zh-CN" w:bidi="ar-SA"/>
        </w:rPr>
        <w:t>2</w:t>
      </w:r>
      <w:r>
        <w:rPr>
          <w:rFonts w:hint="eastAsia" w:ascii="仿宋_GB2312" w:hAnsi="仿宋" w:eastAsia="仿宋_GB2312" w:cs="Times New Roman"/>
          <w:kern w:val="2"/>
          <w:sz w:val="32"/>
          <w:szCs w:val="32"/>
          <w:lang w:val="en-US" w:eastAsia="zh-CN" w:bidi="ar-SA"/>
        </w:rPr>
        <w:t>年年底完成所有任务目标；</w:t>
      </w:r>
      <w:r>
        <w:rPr>
          <w:rFonts w:hint="eastAsia" w:ascii="仿宋_GB2312" w:hAnsi="仿宋" w:cs="Times New Roman"/>
          <w:kern w:val="2"/>
          <w:sz w:val="32"/>
          <w:szCs w:val="32"/>
          <w:lang w:val="en-US" w:eastAsia="zh-CN" w:bidi="ar-SA"/>
        </w:rPr>
        <w:t>（3）</w:t>
      </w:r>
      <w:r>
        <w:rPr>
          <w:rFonts w:hint="eastAsia" w:ascii="仿宋_GB2312" w:hAnsi="仿宋" w:eastAsia="仿宋_GB2312" w:cs="Times New Roman"/>
          <w:kern w:val="2"/>
          <w:sz w:val="32"/>
          <w:szCs w:val="32"/>
          <w:lang w:val="en-US" w:eastAsia="zh-CN" w:bidi="ar-SA"/>
        </w:rPr>
        <w:t>成本指标：严格控制预算，按照202</w:t>
      </w:r>
      <w:r>
        <w:rPr>
          <w:rFonts w:hint="eastAsia" w:ascii="仿宋_GB2312" w:hAnsi="仿宋" w:cs="Times New Roman"/>
          <w:kern w:val="2"/>
          <w:sz w:val="32"/>
          <w:szCs w:val="32"/>
          <w:lang w:val="en-US" w:eastAsia="zh-CN" w:bidi="ar-SA"/>
        </w:rPr>
        <w:t>2</w:t>
      </w:r>
      <w:r>
        <w:rPr>
          <w:rFonts w:hint="eastAsia" w:ascii="仿宋_GB2312" w:hAnsi="仿宋" w:eastAsia="仿宋_GB2312" w:cs="Times New Roman"/>
          <w:kern w:val="2"/>
          <w:sz w:val="32"/>
          <w:szCs w:val="32"/>
          <w:lang w:val="en-US" w:eastAsia="zh-CN" w:bidi="ar-SA"/>
        </w:rPr>
        <w:t>年预算编制要求，</w:t>
      </w:r>
      <w:r>
        <w:rPr>
          <w:rFonts w:hint="eastAsia" w:ascii="仿宋_GB2312" w:hAnsi="仿宋" w:cs="Times New Roman"/>
          <w:kern w:val="2"/>
          <w:sz w:val="32"/>
          <w:szCs w:val="32"/>
          <w:lang w:val="en-US" w:eastAsia="zh-CN" w:bidi="ar-SA"/>
        </w:rPr>
        <w:t>成本节约率大于等于0%；（4）</w:t>
      </w:r>
      <w:r>
        <w:rPr>
          <w:rFonts w:hint="eastAsia" w:ascii="仿宋_GB2312" w:hAnsi="仿宋" w:eastAsia="仿宋_GB2312" w:cs="Times New Roman"/>
          <w:kern w:val="2"/>
          <w:sz w:val="32"/>
          <w:szCs w:val="32"/>
          <w:lang w:val="en-US" w:eastAsia="zh-CN" w:bidi="ar-SA"/>
        </w:rPr>
        <w:t>数量指标：重点工作办结率达100%，部门整体支出支付进度合理。部门效益指标具体设置为：</w:t>
      </w:r>
      <w:r>
        <w:rPr>
          <w:rFonts w:hint="eastAsia" w:cs="Times New Roman"/>
          <w:color w:val="auto"/>
          <w:spacing w:val="-2"/>
          <w:sz w:val="32"/>
          <w:szCs w:val="32"/>
          <w:lang w:val="en-US" w:eastAsia="zh-CN"/>
        </w:rPr>
        <w:t>（1）</w:t>
      </w:r>
      <w:r>
        <w:rPr>
          <w:rFonts w:hint="eastAsia" w:ascii="Times New Roman" w:hAnsi="Times New Roman" w:eastAsia="仿宋_GB2312" w:cs="Times New Roman"/>
          <w:color w:val="auto"/>
          <w:spacing w:val="-2"/>
          <w:sz w:val="32"/>
          <w:szCs w:val="32"/>
          <w:lang w:val="en-US" w:eastAsia="zh-CN"/>
        </w:rPr>
        <w:t>社会公众及服务对象满意度：持续改善和保障民生工作，不断增强居民群众的获得感、幸福感和满意度；</w:t>
      </w:r>
      <w:r>
        <w:rPr>
          <w:rFonts w:hint="eastAsia" w:cs="Times New Roman"/>
          <w:color w:val="auto"/>
          <w:spacing w:val="-2"/>
          <w:sz w:val="32"/>
          <w:szCs w:val="32"/>
          <w:lang w:val="en-US" w:eastAsia="zh-CN"/>
        </w:rPr>
        <w:t>（2）</w:t>
      </w:r>
      <w:r>
        <w:rPr>
          <w:rFonts w:hint="eastAsia" w:ascii="Times New Roman" w:hAnsi="Times New Roman" w:eastAsia="仿宋_GB2312" w:cs="Times New Roman"/>
          <w:color w:val="auto"/>
          <w:spacing w:val="-2"/>
          <w:sz w:val="32"/>
          <w:szCs w:val="32"/>
          <w:lang w:val="en-US" w:eastAsia="zh-CN"/>
        </w:rPr>
        <w:t>经济效益指标：持续优化政务服务和营商环境，用心帮扶服务企业，推进我街道经济发展实现量质齐升；</w:t>
      </w:r>
      <w:r>
        <w:rPr>
          <w:rFonts w:hint="eastAsia" w:cs="Times New Roman"/>
          <w:color w:val="auto"/>
          <w:spacing w:val="-2"/>
          <w:sz w:val="32"/>
          <w:szCs w:val="32"/>
          <w:lang w:val="en-US" w:eastAsia="zh-CN"/>
        </w:rPr>
        <w:t>（3）</w:t>
      </w:r>
      <w:r>
        <w:rPr>
          <w:rFonts w:hint="eastAsia" w:ascii="Times New Roman" w:hAnsi="Times New Roman" w:eastAsia="仿宋_GB2312" w:cs="Times New Roman"/>
          <w:color w:val="auto"/>
          <w:spacing w:val="-2"/>
          <w:sz w:val="32"/>
          <w:szCs w:val="32"/>
          <w:lang w:val="en-US" w:eastAsia="zh-CN"/>
        </w:rPr>
        <w:t>社会效益指标：坚决贯彻落实区委区政府部署要求，统筹抓好城市管理、安全生产、公共服务、基层党建、文明创建、社会治理等各项工作，营造良好生产生活环境；</w:t>
      </w:r>
      <w:r>
        <w:rPr>
          <w:rFonts w:hint="eastAsia" w:cs="Times New Roman"/>
          <w:color w:val="auto"/>
          <w:spacing w:val="-2"/>
          <w:sz w:val="32"/>
          <w:szCs w:val="32"/>
          <w:lang w:val="en-US" w:eastAsia="zh-CN"/>
        </w:rPr>
        <w:t>（4）</w:t>
      </w:r>
      <w:r>
        <w:rPr>
          <w:rFonts w:hint="eastAsia" w:ascii="Times New Roman" w:hAnsi="Times New Roman" w:eastAsia="仿宋_GB2312" w:cs="Times New Roman"/>
          <w:color w:val="auto"/>
          <w:spacing w:val="-2"/>
          <w:sz w:val="32"/>
          <w:szCs w:val="32"/>
          <w:lang w:val="en-US" w:eastAsia="zh-CN"/>
        </w:rPr>
        <w:t>生态效益指标：坚持新发展理念，统筹兼顾抓好经济发展和生态环境保护，实现高质量、可持续发展。</w:t>
      </w:r>
    </w:p>
    <w:p>
      <w:pPr>
        <w:numPr>
          <w:ilvl w:val="0"/>
          <w:numId w:val="0"/>
        </w:numPr>
        <w:ind w:firstLine="640" w:firstLineChars="200"/>
        <w:rPr>
          <w:rFonts w:hint="eastAsia" w:ascii="Times New Roman" w:hAnsi="Times New Roman" w:cs="Times New Roman"/>
          <w:kern w:val="2"/>
          <w:sz w:val="32"/>
          <w:szCs w:val="32"/>
          <w:lang w:val="en-US" w:eastAsia="zh-CN" w:bidi="ar-SA"/>
        </w:rPr>
      </w:pPr>
      <w:r>
        <w:rPr>
          <w:rFonts w:hint="eastAsia" w:ascii="Times New Roman" w:hAnsi="Times New Roman" w:cs="Times New Roman"/>
          <w:kern w:val="2"/>
          <w:sz w:val="32"/>
          <w:szCs w:val="32"/>
          <w:lang w:val="en-US" w:eastAsia="zh-CN" w:bidi="ar-SA"/>
        </w:rPr>
        <w:t>2.无区级专项资金。</w:t>
      </w:r>
    </w:p>
    <w:p>
      <w:pPr>
        <w:numPr>
          <w:ilvl w:val="0"/>
          <w:numId w:val="0"/>
        </w:numPr>
        <w:ind w:firstLine="640" w:firstLineChars="200"/>
        <w:rPr>
          <w:rFonts w:hint="eastAsia" w:ascii="Times New Roman" w:hAnsi="Times New Roman" w:cs="Times New Roman"/>
          <w:kern w:val="2"/>
          <w:sz w:val="32"/>
          <w:szCs w:val="32"/>
          <w:lang w:val="en-US" w:eastAsia="zh-CN" w:bidi="ar-SA"/>
        </w:rPr>
      </w:pPr>
      <w:r>
        <w:rPr>
          <w:rFonts w:hint="eastAsia" w:ascii="Times New Roman" w:hAnsi="Times New Roman" w:cs="Times New Roman"/>
          <w:kern w:val="2"/>
          <w:sz w:val="32"/>
          <w:szCs w:val="32"/>
          <w:lang w:val="en-US" w:eastAsia="zh-CN" w:bidi="ar-SA"/>
        </w:rPr>
        <w:t>3.其他项目支出（除区级专项资金以外）绩效目标：</w:t>
      </w:r>
    </w:p>
    <w:p>
      <w:pPr>
        <w:pStyle w:val="7"/>
        <w:keepNext w:val="0"/>
        <w:keepLines w:val="0"/>
        <w:pageBreakBefore w:val="0"/>
        <w:widowControl w:val="0"/>
        <w:kinsoku/>
        <w:wordWrap/>
        <w:overflowPunct/>
        <w:topLinePunct w:val="0"/>
        <w:autoSpaceDE/>
        <w:autoSpaceDN/>
        <w:bidi w:val="0"/>
        <w:adjustRightInd/>
        <w:snapToGrid/>
        <w:spacing w:after="0"/>
        <w:ind w:firstLine="640" w:firstLineChars="200"/>
        <w:rPr>
          <w:rFonts w:hint="default" w:ascii="Times New Roman" w:hAnsi="Times New Roman" w:cs="Times New Roman"/>
          <w:kern w:val="2"/>
          <w:sz w:val="32"/>
          <w:szCs w:val="32"/>
          <w:lang w:val="en-US" w:eastAsia="zh-CN" w:bidi="ar-SA"/>
        </w:rPr>
      </w:pPr>
      <w:r>
        <w:rPr>
          <w:rFonts w:hint="eastAsia" w:cs="Times New Roman"/>
          <w:kern w:val="2"/>
          <w:sz w:val="32"/>
          <w:szCs w:val="32"/>
          <w:lang w:val="en-US" w:eastAsia="zh-CN" w:bidi="ar-SA"/>
        </w:rPr>
        <w:t>（1）</w:t>
      </w:r>
      <w:r>
        <w:rPr>
          <w:rFonts w:hint="eastAsia" w:ascii="Times New Roman" w:hAnsi="Times New Roman" w:cs="Times New Roman"/>
          <w:kern w:val="2"/>
          <w:sz w:val="32"/>
          <w:szCs w:val="32"/>
          <w:lang w:val="en-US" w:eastAsia="zh-CN" w:bidi="ar-SA"/>
        </w:rPr>
        <w:t>背街小巷清扫保洁经费：</w:t>
      </w:r>
      <w:r>
        <w:rPr>
          <w:rFonts w:hint="eastAsia" w:cs="Times New Roman"/>
          <w:kern w:val="2"/>
          <w:sz w:val="32"/>
          <w:szCs w:val="32"/>
          <w:lang w:val="en-US" w:eastAsia="zh-CN" w:bidi="ar-SA"/>
        </w:rPr>
        <w:t>①满意度指标：社会公众满意度大于等于90%；②成本指标：项目的成本节约率大于等于0；③产出指标：加强背街小巷清扫保洁整治，确保城市管理工作再上新台阶，不断提升辖区环境品质。足额下拨社区清扫保洁经费，全年开展背街小巷专项整治行动4次，按时完成背街小巷清扫保洁工作；④效益指标：有效保障辖区整体环境良好，各项工作顺利开展。</w:t>
      </w:r>
    </w:p>
    <w:p>
      <w:pPr>
        <w:keepNext w:val="0"/>
        <w:keepLines w:val="0"/>
        <w:pageBreakBefore w:val="0"/>
        <w:widowControl w:val="0"/>
        <w:kinsoku/>
        <w:wordWrap/>
        <w:overflowPunct/>
        <w:topLinePunct w:val="0"/>
        <w:autoSpaceDE/>
        <w:autoSpaceDN/>
        <w:bidi w:val="0"/>
        <w:adjustRightInd/>
        <w:snapToGrid/>
        <w:ind w:firstLine="640"/>
        <w:rPr>
          <w:rFonts w:hint="default" w:ascii="Times New Roman" w:hAnsi="Times New Roman" w:cs="Times New Roman"/>
          <w:kern w:val="2"/>
          <w:sz w:val="32"/>
          <w:szCs w:val="32"/>
          <w:lang w:val="en-US" w:eastAsia="zh-CN" w:bidi="ar-SA"/>
        </w:rPr>
      </w:pPr>
      <w:r>
        <w:rPr>
          <w:rFonts w:hint="eastAsia" w:cs="Times New Roman"/>
          <w:kern w:val="2"/>
          <w:sz w:val="32"/>
          <w:szCs w:val="32"/>
          <w:lang w:val="en-US" w:eastAsia="zh-CN" w:bidi="ar-SA"/>
        </w:rPr>
        <w:t>（2）</w:t>
      </w:r>
      <w:r>
        <w:rPr>
          <w:rFonts w:hint="eastAsia" w:ascii="Times New Roman" w:hAnsi="Times New Roman" w:cs="Times New Roman"/>
          <w:kern w:val="2"/>
          <w:sz w:val="32"/>
          <w:szCs w:val="32"/>
          <w:lang w:val="en-US" w:eastAsia="zh-CN" w:bidi="ar-SA"/>
        </w:rPr>
        <w:t>城市管理：</w:t>
      </w:r>
      <w:r>
        <w:rPr>
          <w:rFonts w:hint="eastAsia" w:cs="Times New Roman"/>
          <w:kern w:val="2"/>
          <w:sz w:val="32"/>
          <w:szCs w:val="32"/>
          <w:lang w:val="en-US" w:eastAsia="zh-CN" w:bidi="ar-SA"/>
        </w:rPr>
        <w:t>①产出指标：全年发生0次重大食品安全事故和重大负面舆情事件，城市管理数字化案卷处理完成率达到100%，背街小巷清扫工作覆盖率达到100%，完成4次专项整治行动，全年发生0次重大安全生产事故和重大负面舆情事件，及时、有效地完成城市管理、食品安全、安全生产、文明创建工作；②效益指标：有效保障辖区生产和食品安全以及城市环境整体状况良好，各项工作顺利开展；③满意度指标：社会公众满意度大于等于90%。</w:t>
      </w:r>
    </w:p>
    <w:p>
      <w:pPr>
        <w:pStyle w:val="7"/>
        <w:keepNext w:val="0"/>
        <w:keepLines w:val="0"/>
        <w:pageBreakBefore w:val="0"/>
        <w:widowControl w:val="0"/>
        <w:kinsoku/>
        <w:wordWrap/>
        <w:overflowPunct/>
        <w:topLinePunct w:val="0"/>
        <w:autoSpaceDE/>
        <w:autoSpaceDN/>
        <w:bidi w:val="0"/>
        <w:adjustRightInd/>
        <w:snapToGrid/>
        <w:spacing w:after="0"/>
        <w:ind w:firstLine="641"/>
        <w:textAlignment w:val="baseline"/>
        <w:rPr>
          <w:rFonts w:hint="eastAsia" w:ascii="Times New Roman" w:hAnsi="Times New Roman" w:cs="Times New Roman"/>
          <w:kern w:val="2"/>
          <w:sz w:val="32"/>
          <w:szCs w:val="32"/>
          <w:lang w:val="en-US" w:eastAsia="zh-CN" w:bidi="ar-SA"/>
        </w:rPr>
      </w:pPr>
      <w:r>
        <w:rPr>
          <w:rFonts w:hint="eastAsia" w:cs="Times New Roman"/>
          <w:kern w:val="2"/>
          <w:sz w:val="32"/>
          <w:szCs w:val="32"/>
          <w:lang w:val="en-US" w:eastAsia="zh-CN" w:bidi="ar-SA"/>
        </w:rPr>
        <w:t>（3）</w:t>
      </w:r>
      <w:r>
        <w:rPr>
          <w:rFonts w:hint="eastAsia" w:ascii="Times New Roman" w:hAnsi="Times New Roman" w:eastAsia="仿宋_GB2312" w:cs="Times New Roman"/>
          <w:kern w:val="2"/>
          <w:sz w:val="32"/>
          <w:szCs w:val="32"/>
          <w:lang w:val="en-US" w:eastAsia="zh-CN" w:bidi="ar-SA"/>
        </w:rPr>
        <w:t>公共服务</w:t>
      </w:r>
      <w:r>
        <w:rPr>
          <w:rFonts w:hint="eastAsia" w:ascii="Times New Roman" w:hAnsi="Times New Roman" w:cs="Times New Roman"/>
          <w:kern w:val="2"/>
          <w:sz w:val="32"/>
          <w:szCs w:val="32"/>
          <w:lang w:val="en-US" w:eastAsia="zh-CN" w:bidi="ar-SA"/>
        </w:rPr>
        <w:t>：</w:t>
      </w:r>
      <w:r>
        <w:rPr>
          <w:rFonts w:hint="eastAsia" w:cs="Times New Roman"/>
          <w:kern w:val="2"/>
          <w:sz w:val="32"/>
          <w:szCs w:val="32"/>
          <w:lang w:val="en-US" w:eastAsia="zh-CN" w:bidi="ar-SA"/>
        </w:rPr>
        <w:t>①产出指标：完成1次无偿献血活动，及时、足额地发放春节慰问、八一慰问、各类救助金、物资，全年发生0次重大聚集性新冠肺炎疫情及传染病，每季度按时下拨惠民资金至各社区，每月按时下拨社区工作经费至各社区、发放转业志愿兵和转业士官工资，12345热线服务工作办结率、计生特殊家庭家庭意外保险覆盖率均达100%，完成2次劳动就业培训或招聘会、2次应急救护培训，及时、圆满地完成卫生健康、社会保障工作；②满意度指标：社会公众满意度大于等于90%；③效益指标：有效保障辖区卫生健康及社会保障整体状况良好，各项工作顺利开展。</w:t>
      </w:r>
    </w:p>
    <w:p>
      <w:pPr>
        <w:pStyle w:val="7"/>
        <w:keepNext w:val="0"/>
        <w:keepLines w:val="0"/>
        <w:pageBreakBefore w:val="0"/>
        <w:widowControl w:val="0"/>
        <w:kinsoku/>
        <w:wordWrap/>
        <w:overflowPunct/>
        <w:topLinePunct w:val="0"/>
        <w:autoSpaceDE/>
        <w:autoSpaceDN/>
        <w:bidi w:val="0"/>
        <w:adjustRightInd/>
        <w:snapToGrid/>
        <w:spacing w:after="0"/>
        <w:ind w:firstLine="641"/>
        <w:textAlignment w:val="baseline"/>
        <w:rPr>
          <w:rFonts w:hint="eastAsia" w:ascii="Times New Roman" w:hAnsi="Times New Roman" w:eastAsia="仿宋_GB2312" w:cs="Times New Roman"/>
          <w:kern w:val="2"/>
          <w:sz w:val="32"/>
          <w:szCs w:val="32"/>
          <w:lang w:val="en-US" w:eastAsia="zh-CN" w:bidi="ar-SA"/>
        </w:rPr>
      </w:pPr>
      <w:r>
        <w:rPr>
          <w:rFonts w:hint="eastAsia" w:cs="Times New Roman"/>
          <w:kern w:val="2"/>
          <w:sz w:val="32"/>
          <w:szCs w:val="32"/>
          <w:lang w:val="en-US" w:eastAsia="zh-CN" w:bidi="ar-SA"/>
        </w:rPr>
        <w:t>（4）</w:t>
      </w:r>
      <w:r>
        <w:rPr>
          <w:rFonts w:hint="eastAsia" w:ascii="Times New Roman" w:hAnsi="Times New Roman" w:eastAsia="仿宋_GB2312" w:cs="Times New Roman"/>
          <w:kern w:val="2"/>
          <w:sz w:val="32"/>
          <w:szCs w:val="32"/>
          <w:lang w:val="en-US" w:eastAsia="zh-CN" w:bidi="ar-SA"/>
        </w:rPr>
        <w:t>两保人员经费</w:t>
      </w:r>
      <w:r>
        <w:rPr>
          <w:rFonts w:hint="eastAsia" w:ascii="Times New Roman" w:hAnsi="Times New Roman" w:cs="Times New Roman"/>
          <w:kern w:val="2"/>
          <w:sz w:val="32"/>
          <w:szCs w:val="32"/>
          <w:lang w:val="en-US" w:eastAsia="zh-CN" w:bidi="ar-SA"/>
        </w:rPr>
        <w:t>：</w:t>
      </w:r>
      <w:r>
        <w:rPr>
          <w:rFonts w:hint="eastAsia" w:cs="Times New Roman"/>
          <w:kern w:val="2"/>
          <w:sz w:val="32"/>
          <w:szCs w:val="32"/>
          <w:lang w:val="en-US" w:eastAsia="zh-CN" w:bidi="ar-SA"/>
        </w:rPr>
        <w:t>①产出指标：每月及时、准确发放两保人员工资；②满意度指标：两保人员满意度大于等于90%；③效益指标：有效保障两保人员合法权益；④成本指标：项目的成本节约率大于等于0。</w:t>
      </w:r>
    </w:p>
    <w:p>
      <w:pPr>
        <w:pStyle w:val="7"/>
        <w:keepNext w:val="0"/>
        <w:keepLines w:val="0"/>
        <w:pageBreakBefore w:val="0"/>
        <w:widowControl w:val="0"/>
        <w:kinsoku/>
        <w:wordWrap/>
        <w:overflowPunct/>
        <w:topLinePunct w:val="0"/>
        <w:autoSpaceDE/>
        <w:autoSpaceDN/>
        <w:bidi w:val="0"/>
        <w:adjustRightInd/>
        <w:snapToGrid/>
        <w:spacing w:after="0"/>
        <w:ind w:firstLine="641"/>
        <w:textAlignment w:val="baseline"/>
        <w:rPr>
          <w:rFonts w:hint="eastAsia" w:cs="Times New Roman"/>
          <w:kern w:val="2"/>
          <w:sz w:val="32"/>
          <w:szCs w:val="32"/>
          <w:lang w:val="en-US" w:eastAsia="zh-CN" w:bidi="ar-SA"/>
        </w:rPr>
      </w:pPr>
      <w:r>
        <w:rPr>
          <w:rFonts w:hint="eastAsia" w:cs="Times New Roman"/>
          <w:kern w:val="2"/>
          <w:sz w:val="32"/>
          <w:szCs w:val="32"/>
          <w:lang w:val="en-US" w:eastAsia="zh-CN" w:bidi="ar-SA"/>
        </w:rPr>
        <w:t>（5）</w:t>
      </w:r>
      <w:r>
        <w:rPr>
          <w:rFonts w:hint="eastAsia" w:ascii="Times New Roman" w:hAnsi="Times New Roman" w:eastAsia="仿宋_GB2312" w:cs="Times New Roman"/>
          <w:kern w:val="2"/>
          <w:sz w:val="32"/>
          <w:szCs w:val="32"/>
          <w:lang w:val="en-US" w:eastAsia="zh-CN" w:bidi="ar-SA"/>
        </w:rPr>
        <w:t>其他事务</w:t>
      </w:r>
      <w:r>
        <w:rPr>
          <w:rFonts w:hint="eastAsia" w:ascii="Times New Roman" w:hAnsi="Times New Roman" w:cs="Times New Roman"/>
          <w:kern w:val="2"/>
          <w:sz w:val="32"/>
          <w:szCs w:val="32"/>
          <w:lang w:val="en-US" w:eastAsia="zh-CN" w:bidi="ar-SA"/>
        </w:rPr>
        <w:t>：</w:t>
      </w:r>
      <w:r>
        <w:rPr>
          <w:rFonts w:hint="eastAsia" w:cs="Times New Roman"/>
          <w:kern w:val="2"/>
          <w:sz w:val="32"/>
          <w:szCs w:val="32"/>
          <w:lang w:val="en-US" w:eastAsia="zh-CN" w:bidi="ar-SA"/>
        </w:rPr>
        <w:t>①产出指标：及时、有效地完成其他事务工作，按时发放工会福利待遇、社区退休人员工资，保障各类人员工会福利待遇及社区14名退休人员工资、奖金，及时下拨社区国有资产出租租金；②满意度指标：工会会员满意度大于等于90%；③效益指标：有效保障人员福利待遇，各项工作顺利开展。</w:t>
      </w:r>
    </w:p>
    <w:p>
      <w:pPr>
        <w:pStyle w:val="7"/>
        <w:keepNext w:val="0"/>
        <w:keepLines w:val="0"/>
        <w:pageBreakBefore w:val="0"/>
        <w:widowControl w:val="0"/>
        <w:kinsoku/>
        <w:wordWrap/>
        <w:overflowPunct/>
        <w:topLinePunct w:val="0"/>
        <w:autoSpaceDE/>
        <w:autoSpaceDN/>
        <w:bidi w:val="0"/>
        <w:adjustRightInd/>
        <w:snapToGrid/>
        <w:spacing w:after="0"/>
        <w:ind w:firstLine="641"/>
        <w:textAlignment w:val="baseline"/>
        <w:rPr>
          <w:rFonts w:hint="eastAsia" w:cs="Times New Roman"/>
          <w:kern w:val="2"/>
          <w:sz w:val="32"/>
          <w:szCs w:val="32"/>
          <w:lang w:val="en-US" w:eastAsia="zh-CN" w:bidi="ar-SA"/>
        </w:rPr>
      </w:pPr>
      <w:r>
        <w:rPr>
          <w:rFonts w:hint="eastAsia" w:cs="Times New Roman"/>
          <w:kern w:val="2"/>
          <w:sz w:val="32"/>
          <w:szCs w:val="32"/>
          <w:lang w:val="en-US" w:eastAsia="zh-CN" w:bidi="ar-SA"/>
        </w:rPr>
        <w:t>（6）</w:t>
      </w:r>
      <w:r>
        <w:rPr>
          <w:rFonts w:hint="eastAsia" w:ascii="Times New Roman" w:hAnsi="Times New Roman" w:eastAsia="仿宋_GB2312" w:cs="Times New Roman"/>
          <w:kern w:val="2"/>
          <w:sz w:val="32"/>
          <w:szCs w:val="32"/>
          <w:lang w:val="en-US" w:eastAsia="zh-CN" w:bidi="ar-SA"/>
        </w:rPr>
        <w:t>社会管理</w:t>
      </w:r>
      <w:r>
        <w:rPr>
          <w:rFonts w:hint="eastAsia" w:ascii="Times New Roman" w:hAnsi="Times New Roman" w:cs="Times New Roman"/>
          <w:kern w:val="2"/>
          <w:sz w:val="32"/>
          <w:szCs w:val="32"/>
          <w:lang w:val="en-US" w:eastAsia="zh-CN" w:bidi="ar-SA"/>
        </w:rPr>
        <w:t>：</w:t>
      </w:r>
      <w:r>
        <w:rPr>
          <w:rFonts w:hint="eastAsia" w:cs="Times New Roman"/>
          <w:kern w:val="2"/>
          <w:sz w:val="32"/>
          <w:szCs w:val="32"/>
          <w:lang w:val="en-US" w:eastAsia="zh-CN" w:bidi="ar-SA"/>
        </w:rPr>
        <w:t>①产出指标：全年按时完成综合治理工作、党建党政工作，开展12次主题党日活动，组织2次退休老干活动，</w:t>
      </w:r>
      <w:r>
        <w:rPr>
          <w:rFonts w:hint="eastAsia" w:cs="Times New Roman"/>
          <w:color w:val="auto"/>
          <w:kern w:val="2"/>
          <w:sz w:val="32"/>
          <w:szCs w:val="32"/>
          <w:lang w:val="en-US" w:eastAsia="zh-CN" w:bidi="ar-SA"/>
        </w:rPr>
        <w:t>召开8次大型会议，开展1次及以上人民武装（民兵）训练，每月按时发放综治协管员工资，开展4次司法工作会议，党员教育工作覆盖率达到100%，全年发生0次进京非访事件，举行4次法制讲座等培训，开展1次及以上文体活动，持续抓好基层党建工作，深入做好意识形态工作，筑牢党员干部群众思想定力，为推动各项工作有序开展提供强有力的思想政治保障。加强社会综合治理，维护本地区社会秩序安定，保证禁毒、护铁护路、平安建设、道路交通等工作顺利开展；</w:t>
      </w:r>
      <w:r>
        <w:rPr>
          <w:rFonts w:hint="eastAsia" w:cs="Times New Roman"/>
          <w:kern w:val="2"/>
          <w:sz w:val="32"/>
          <w:szCs w:val="32"/>
          <w:lang w:val="en-US" w:eastAsia="zh-CN" w:bidi="ar-SA"/>
        </w:rPr>
        <w:t>②效益指标：有效保障辖区内各项党建工作顺利开展，社会秩序整体安定；③满意度指标：社会公众满意度大于等于90%。</w:t>
      </w:r>
    </w:p>
    <w:p>
      <w:pPr>
        <w:pStyle w:val="7"/>
        <w:keepNext w:val="0"/>
        <w:keepLines w:val="0"/>
        <w:pageBreakBefore w:val="0"/>
        <w:widowControl w:val="0"/>
        <w:kinsoku/>
        <w:wordWrap/>
        <w:overflowPunct/>
        <w:topLinePunct w:val="0"/>
        <w:autoSpaceDE/>
        <w:autoSpaceDN/>
        <w:bidi w:val="0"/>
        <w:adjustRightInd/>
        <w:snapToGrid/>
        <w:spacing w:after="0"/>
        <w:ind w:firstLine="641"/>
        <w:textAlignment w:val="baseline"/>
        <w:rPr>
          <w:rFonts w:hint="eastAsia" w:cs="Times New Roman"/>
          <w:kern w:val="2"/>
          <w:sz w:val="32"/>
          <w:szCs w:val="32"/>
          <w:lang w:val="en-US" w:eastAsia="zh-CN" w:bidi="ar-SA"/>
        </w:rPr>
      </w:pPr>
      <w:r>
        <w:rPr>
          <w:rFonts w:hint="eastAsia" w:cs="Times New Roman"/>
          <w:kern w:val="2"/>
          <w:sz w:val="32"/>
          <w:szCs w:val="32"/>
          <w:lang w:val="en-US" w:eastAsia="zh-CN" w:bidi="ar-SA"/>
        </w:rPr>
        <w:t>（7）</w:t>
      </w:r>
      <w:r>
        <w:rPr>
          <w:rFonts w:hint="eastAsia" w:ascii="Times New Roman" w:hAnsi="Times New Roman" w:eastAsia="仿宋_GB2312" w:cs="Times New Roman"/>
          <w:kern w:val="2"/>
          <w:sz w:val="32"/>
          <w:szCs w:val="32"/>
          <w:lang w:val="en-US" w:eastAsia="zh-CN" w:bidi="ar-SA"/>
        </w:rPr>
        <w:t>协管员工资保险经费</w:t>
      </w:r>
      <w:r>
        <w:rPr>
          <w:rFonts w:hint="eastAsia" w:ascii="Times New Roman" w:hAnsi="Times New Roman" w:cs="Times New Roman"/>
          <w:kern w:val="2"/>
          <w:sz w:val="32"/>
          <w:szCs w:val="32"/>
          <w:lang w:val="en-US" w:eastAsia="zh-CN" w:bidi="ar-SA"/>
        </w:rPr>
        <w:t>：</w:t>
      </w:r>
      <w:r>
        <w:rPr>
          <w:rFonts w:hint="eastAsia" w:cs="Times New Roman"/>
          <w:kern w:val="2"/>
          <w:sz w:val="32"/>
          <w:szCs w:val="32"/>
          <w:lang w:val="en-US" w:eastAsia="zh-CN" w:bidi="ar-SA"/>
        </w:rPr>
        <w:t>①效益指标：有效保障城管协管员合法权益；②满意度指标：城管协管员满意度大于等于90%；③成本指标：项目的成本节约率大于等于0；④产出指标：按时发放城管协管员工资、保险。</w:t>
      </w:r>
    </w:p>
    <w:p>
      <w:pPr>
        <w:pStyle w:val="7"/>
        <w:keepNext w:val="0"/>
        <w:keepLines w:val="0"/>
        <w:pageBreakBefore w:val="0"/>
        <w:widowControl w:val="0"/>
        <w:kinsoku/>
        <w:wordWrap/>
        <w:overflowPunct/>
        <w:topLinePunct w:val="0"/>
        <w:autoSpaceDE/>
        <w:autoSpaceDN/>
        <w:bidi w:val="0"/>
        <w:adjustRightInd/>
        <w:snapToGrid/>
        <w:spacing w:after="0"/>
        <w:ind w:firstLine="641"/>
        <w:textAlignment w:val="baseline"/>
        <w:rPr>
          <w:rFonts w:hint="default"/>
          <w:lang w:val="en-US" w:eastAsia="zh-CN"/>
        </w:rPr>
      </w:pPr>
      <w:r>
        <w:rPr>
          <w:rFonts w:hint="eastAsia" w:cs="Times New Roman"/>
          <w:kern w:val="2"/>
          <w:sz w:val="32"/>
          <w:szCs w:val="32"/>
          <w:lang w:val="en-US" w:eastAsia="zh-CN" w:bidi="ar-SA"/>
        </w:rPr>
        <w:t>（8）</w:t>
      </w:r>
      <w:r>
        <w:rPr>
          <w:rFonts w:hint="eastAsia" w:ascii="Times New Roman" w:hAnsi="Times New Roman" w:eastAsia="仿宋_GB2312" w:cs="Times New Roman"/>
          <w:kern w:val="2"/>
          <w:sz w:val="32"/>
          <w:szCs w:val="32"/>
          <w:lang w:val="en-US" w:eastAsia="zh-CN" w:bidi="ar-SA"/>
        </w:rPr>
        <w:t>治安巡防队员、流动人口协管员经费</w:t>
      </w:r>
      <w:r>
        <w:rPr>
          <w:rFonts w:hint="eastAsia" w:ascii="Times New Roman" w:hAnsi="Times New Roman" w:cs="Times New Roman"/>
          <w:kern w:val="2"/>
          <w:sz w:val="32"/>
          <w:szCs w:val="32"/>
          <w:lang w:val="en-US" w:eastAsia="zh-CN" w:bidi="ar-SA"/>
        </w:rPr>
        <w:t>：</w:t>
      </w:r>
      <w:r>
        <w:rPr>
          <w:rFonts w:hint="eastAsia" w:cs="Times New Roman"/>
          <w:kern w:val="2"/>
          <w:sz w:val="32"/>
          <w:szCs w:val="32"/>
          <w:lang w:val="en-US" w:eastAsia="zh-CN" w:bidi="ar-SA"/>
        </w:rPr>
        <w:t>①效益指标：有效保障治安巡防队员、流动人口协管员合法权益；②满意度指标：治安巡防队员、流动人口协管员满意度大于等于90%；③成本指标：项目的成本节约率大于等于0；④产出指标：按时发放治安巡防队员、流动人口协管员工资、保险。</w:t>
      </w:r>
    </w:p>
    <w:p>
      <w:pPr>
        <w:pStyle w:val="8"/>
        <w:spacing w:line="600" w:lineRule="exact"/>
        <w:ind w:firstLine="640"/>
        <w:rPr>
          <w:rFonts w:ascii="Times New Roman" w:hAnsi="Times New Roman" w:eastAsia="黑体"/>
          <w:sz w:val="32"/>
          <w:szCs w:val="32"/>
        </w:rPr>
      </w:pPr>
      <w:r>
        <w:rPr>
          <w:rFonts w:ascii="Times New Roman" w:hAnsi="Times New Roman" w:eastAsia="黑体"/>
          <w:sz w:val="32"/>
          <w:szCs w:val="32"/>
        </w:rPr>
        <w:t>二、一般公共预算支出情况</w:t>
      </w:r>
    </w:p>
    <w:p>
      <w:pPr>
        <w:pStyle w:val="8"/>
        <w:spacing w:line="600" w:lineRule="exact"/>
        <w:ind w:firstLine="643"/>
        <w:rPr>
          <w:rFonts w:ascii="Times New Roman" w:hAnsi="Times New Roman" w:eastAsia="楷体_GB2312"/>
          <w:b/>
          <w:sz w:val="32"/>
          <w:szCs w:val="32"/>
        </w:rPr>
      </w:pPr>
      <w:r>
        <w:rPr>
          <w:rFonts w:ascii="Times New Roman" w:hAnsi="Times New Roman" w:eastAsia="楷体_GB2312"/>
          <w:b/>
          <w:sz w:val="32"/>
          <w:szCs w:val="32"/>
        </w:rPr>
        <w:t>（一）基本支出情况</w:t>
      </w:r>
    </w:p>
    <w:p>
      <w:pPr>
        <w:pStyle w:val="7"/>
        <w:keepNext w:val="0"/>
        <w:keepLines w:val="0"/>
        <w:pageBreakBefore w:val="0"/>
        <w:widowControl w:val="0"/>
        <w:kinsoku/>
        <w:wordWrap/>
        <w:overflowPunct/>
        <w:topLinePunct w:val="0"/>
        <w:autoSpaceDE/>
        <w:autoSpaceDN/>
        <w:bidi w:val="0"/>
        <w:adjustRightInd/>
        <w:snapToGrid/>
        <w:spacing w:after="0"/>
        <w:ind w:firstLine="64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202</w:t>
      </w:r>
      <w:r>
        <w:rPr>
          <w:rFonts w:hint="eastAsia" w:ascii="Times New Roman" w:hAnsi="Times New Roman" w:cs="Times New Roman"/>
          <w:kern w:val="2"/>
          <w:sz w:val="32"/>
          <w:szCs w:val="32"/>
          <w:lang w:val="en-US" w:eastAsia="zh-CN" w:bidi="ar-SA"/>
        </w:rPr>
        <w:t>2</w:t>
      </w:r>
      <w:r>
        <w:rPr>
          <w:rFonts w:hint="eastAsia" w:ascii="Times New Roman" w:hAnsi="Times New Roman" w:eastAsia="仿宋_GB2312" w:cs="Times New Roman"/>
          <w:kern w:val="2"/>
          <w:sz w:val="32"/>
          <w:szCs w:val="32"/>
          <w:lang w:val="en-US" w:eastAsia="zh-CN" w:bidi="ar-SA"/>
        </w:rPr>
        <w:t>年一般公共预算支出基本支出</w:t>
      </w:r>
      <w:r>
        <w:rPr>
          <w:rFonts w:hint="eastAsia" w:eastAsia="仿宋_GB2312" w:cs="Times New Roman"/>
          <w:color w:val="000000" w:themeColor="text1"/>
          <w:kern w:val="2"/>
          <w:sz w:val="32"/>
          <w:szCs w:val="32"/>
          <w:lang w:val="en-US" w:eastAsia="zh-CN" w:bidi="ar-SA"/>
          <w14:textFill>
            <w14:solidFill>
              <w14:schemeClr w14:val="tx1"/>
            </w14:solidFill>
          </w14:textFill>
        </w:rPr>
        <w:t>2400.49</w:t>
      </w:r>
      <w:r>
        <w:rPr>
          <w:rFonts w:hint="eastAsia" w:ascii="Times New Roman" w:hAnsi="Times New Roman" w:eastAsia="仿宋_GB2312" w:cs="Times New Roman"/>
          <w:kern w:val="2"/>
          <w:sz w:val="32"/>
          <w:szCs w:val="32"/>
          <w:lang w:val="en-US" w:eastAsia="zh-CN" w:bidi="ar-SA"/>
        </w:rPr>
        <w:t>万元，比上年增加</w:t>
      </w:r>
      <w:r>
        <w:rPr>
          <w:rFonts w:hint="eastAsia" w:ascii="Times New Roman" w:hAnsi="Times New Roman" w:cs="Times New Roman"/>
          <w:kern w:val="2"/>
          <w:sz w:val="32"/>
          <w:szCs w:val="32"/>
          <w:lang w:val="en-US" w:eastAsia="zh-CN" w:bidi="ar-SA"/>
        </w:rPr>
        <w:t>189.86</w:t>
      </w:r>
      <w:r>
        <w:rPr>
          <w:rFonts w:hint="eastAsia" w:ascii="Times New Roman" w:hAnsi="Times New Roman" w:eastAsia="仿宋_GB2312" w:cs="Times New Roman"/>
          <w:kern w:val="2"/>
          <w:sz w:val="32"/>
          <w:szCs w:val="32"/>
          <w:lang w:val="en-US" w:eastAsia="zh-CN" w:bidi="ar-SA"/>
        </w:rPr>
        <w:t>万元，增长</w:t>
      </w:r>
      <w:r>
        <w:rPr>
          <w:rFonts w:hint="eastAsia" w:ascii="Times New Roman" w:hAnsi="Times New Roman" w:cs="Times New Roman"/>
          <w:kern w:val="2"/>
          <w:sz w:val="32"/>
          <w:szCs w:val="32"/>
          <w:lang w:val="en-US" w:eastAsia="zh-CN" w:bidi="ar-SA"/>
        </w:rPr>
        <w:t>8.59</w:t>
      </w:r>
      <w:r>
        <w:rPr>
          <w:rFonts w:hint="eastAsia" w:ascii="Times New Roman" w:hAnsi="Times New Roman" w:eastAsia="仿宋_GB2312" w:cs="Times New Roman"/>
          <w:kern w:val="2"/>
          <w:sz w:val="32"/>
          <w:szCs w:val="32"/>
          <w:lang w:val="en-US" w:eastAsia="zh-CN" w:bidi="ar-SA"/>
        </w:rPr>
        <w:t>%，增长的主要原因是：</w:t>
      </w:r>
      <w:r>
        <w:rPr>
          <w:rFonts w:hint="eastAsia" w:eastAsia="仿宋_GB2312" w:cs="Times New Roman"/>
          <w:color w:val="000000" w:themeColor="text1"/>
          <w:kern w:val="2"/>
          <w:sz w:val="32"/>
          <w:szCs w:val="32"/>
          <w:lang w:val="zh-CN" w:eastAsia="zh-CN" w:bidi="ar-SA"/>
          <w14:textFill>
            <w14:solidFill>
              <w14:schemeClr w14:val="tx1"/>
            </w14:solidFill>
          </w14:textFill>
        </w:rPr>
        <w:t>工作人员工资福利待遇按财政统一标准调整</w:t>
      </w:r>
      <w:r>
        <w:rPr>
          <w:rFonts w:hint="eastAsia" w:ascii="Times New Roman" w:hAnsi="Times New Roman" w:eastAsia="仿宋_GB2312" w:cs="Times New Roman"/>
          <w:kern w:val="2"/>
          <w:sz w:val="32"/>
          <w:szCs w:val="32"/>
          <w:lang w:val="en-US" w:eastAsia="zh-CN" w:bidi="ar-SA"/>
        </w:rPr>
        <w:t>。基本支出是为保障单位机构正常运转、完成日常工作任务而发生的各项支出，包括用于基本工资、津贴补贴、离退休干部生活补助等人员经费以及办公费、水电费、办公设备购置等日常公用经费。</w:t>
      </w:r>
    </w:p>
    <w:p>
      <w:pPr>
        <w:pStyle w:val="8"/>
        <w:keepNext w:val="0"/>
        <w:keepLines w:val="0"/>
        <w:pageBreakBefore w:val="0"/>
        <w:widowControl w:val="0"/>
        <w:kinsoku/>
        <w:wordWrap/>
        <w:overflowPunct/>
        <w:topLinePunct w:val="0"/>
        <w:autoSpaceDE/>
        <w:autoSpaceDN/>
        <w:bidi w:val="0"/>
        <w:adjustRightInd/>
        <w:snapToGrid/>
        <w:spacing w:line="600" w:lineRule="exact"/>
        <w:ind w:firstLine="643"/>
        <w:rPr>
          <w:rFonts w:ascii="Times New Roman" w:hAnsi="Times New Roman" w:eastAsia="楷体_GB2312"/>
          <w:b/>
          <w:sz w:val="32"/>
          <w:szCs w:val="32"/>
        </w:rPr>
      </w:pPr>
      <w:r>
        <w:rPr>
          <w:rFonts w:ascii="Times New Roman" w:hAnsi="Times New Roman" w:eastAsia="楷体_GB2312"/>
          <w:b/>
          <w:sz w:val="32"/>
          <w:szCs w:val="32"/>
        </w:rPr>
        <w:t>（二）项目支出情况</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eastAsia="仿宋_GB2312"/>
          <w:color w:val="FF0000"/>
          <w:sz w:val="32"/>
          <w:szCs w:val="32"/>
        </w:rPr>
      </w:pPr>
      <w:r>
        <w:rPr>
          <w:rFonts w:hint="eastAsia" w:ascii="Times New Roman" w:hAnsi="Times New Roman" w:eastAsia="仿宋_GB2312" w:cs="Times New Roman"/>
          <w:color w:val="auto"/>
          <w:spacing w:val="-2"/>
          <w:sz w:val="32"/>
          <w:szCs w:val="32"/>
          <w:lang w:val="en-US" w:eastAsia="zh-CN"/>
        </w:rPr>
        <w:t>202</w:t>
      </w:r>
      <w:r>
        <w:rPr>
          <w:rFonts w:hint="eastAsia" w:cs="Times New Roman"/>
          <w:color w:val="auto"/>
          <w:spacing w:val="-2"/>
          <w:sz w:val="32"/>
          <w:szCs w:val="32"/>
          <w:lang w:val="en-US" w:eastAsia="zh-CN"/>
        </w:rPr>
        <w:t>2</w:t>
      </w:r>
      <w:r>
        <w:rPr>
          <w:rFonts w:hint="eastAsia" w:ascii="Times New Roman" w:hAnsi="Times New Roman" w:eastAsia="仿宋_GB2312" w:cs="Times New Roman"/>
          <w:color w:val="auto"/>
          <w:spacing w:val="-2"/>
          <w:sz w:val="32"/>
          <w:szCs w:val="32"/>
          <w:lang w:val="en-US" w:eastAsia="zh-CN"/>
        </w:rPr>
        <w:t>年一般公共预算支出项目支出</w:t>
      </w:r>
      <w:r>
        <w:rPr>
          <w:rFonts w:hint="eastAsia" w:cs="Times New Roman"/>
          <w:color w:val="auto"/>
          <w:spacing w:val="-2"/>
          <w:sz w:val="32"/>
          <w:szCs w:val="32"/>
          <w:lang w:val="en-US" w:eastAsia="zh-CN"/>
        </w:rPr>
        <w:t>2910.23</w:t>
      </w:r>
      <w:r>
        <w:rPr>
          <w:rFonts w:hint="eastAsia" w:ascii="Times New Roman" w:hAnsi="Times New Roman" w:eastAsia="仿宋_GB2312" w:cs="Times New Roman"/>
          <w:color w:val="auto"/>
          <w:spacing w:val="-2"/>
          <w:sz w:val="32"/>
          <w:szCs w:val="32"/>
          <w:lang w:val="en-US" w:eastAsia="zh-CN"/>
        </w:rPr>
        <w:t>万元，比上年减少</w:t>
      </w:r>
      <w:r>
        <w:rPr>
          <w:rFonts w:hint="eastAsia" w:cs="Times New Roman"/>
          <w:color w:val="000000" w:themeColor="text1"/>
          <w:kern w:val="2"/>
          <w:sz w:val="32"/>
          <w:szCs w:val="32"/>
          <w:lang w:val="en-US" w:eastAsia="zh-CN" w:bidi="ar-SA"/>
          <w14:textFill>
            <w14:solidFill>
              <w14:schemeClr w14:val="tx1"/>
            </w14:solidFill>
          </w14:textFill>
        </w:rPr>
        <w:t>228.24</w:t>
      </w:r>
      <w:r>
        <w:rPr>
          <w:rFonts w:hint="eastAsia" w:ascii="Times New Roman" w:hAnsi="Times New Roman" w:eastAsia="仿宋_GB2312" w:cs="Times New Roman"/>
          <w:color w:val="auto"/>
          <w:spacing w:val="-2"/>
          <w:sz w:val="32"/>
          <w:szCs w:val="32"/>
          <w:lang w:val="en-US" w:eastAsia="zh-CN"/>
        </w:rPr>
        <w:t>万元，下降</w:t>
      </w:r>
      <w:r>
        <w:rPr>
          <w:rFonts w:hint="eastAsia" w:cs="Times New Roman"/>
          <w:color w:val="000000" w:themeColor="text1"/>
          <w:kern w:val="2"/>
          <w:sz w:val="32"/>
          <w:szCs w:val="32"/>
          <w:lang w:val="en-US" w:eastAsia="zh-CN" w:bidi="ar-SA"/>
          <w14:textFill>
            <w14:solidFill>
              <w14:schemeClr w14:val="tx1"/>
            </w14:solidFill>
          </w14:textFill>
        </w:rPr>
        <w:t>7.27</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w:t>
      </w:r>
      <w:r>
        <w:rPr>
          <w:rFonts w:hint="eastAsia" w:ascii="Times New Roman" w:hAnsi="Times New Roman" w:eastAsia="仿宋_GB2312" w:cs="Times New Roman"/>
          <w:color w:val="auto"/>
          <w:spacing w:val="-2"/>
          <w:sz w:val="32"/>
          <w:szCs w:val="32"/>
          <w:lang w:val="en-US" w:eastAsia="zh-CN"/>
        </w:rPr>
        <w:t>；</w:t>
      </w:r>
      <w:r>
        <w:rPr>
          <w:rFonts w:hint="eastAsia" w:ascii="Times New Roman" w:hAnsi="Times New Roman" w:eastAsia="仿宋_GB2312" w:cs="Times New Roman"/>
          <w:color w:val="auto"/>
          <w:spacing w:val="-2"/>
          <w:sz w:val="32"/>
          <w:szCs w:val="32"/>
          <w:lang w:val="zh-CN" w:eastAsia="zh-CN"/>
        </w:rPr>
        <w:t>下降的主要原因是：</w:t>
      </w:r>
      <w:r>
        <w:rPr>
          <w:rFonts w:hint="eastAsia" w:ascii="Times New Roman" w:hAnsi="Times New Roman" w:eastAsia="仿宋_GB2312" w:cs="Times New Roman"/>
          <w:color w:val="000000" w:themeColor="text1"/>
          <w:kern w:val="2"/>
          <w:sz w:val="32"/>
          <w:szCs w:val="32"/>
          <w:lang w:val="zh-CN" w:eastAsia="zh-CN" w:bidi="ar-SA"/>
          <w14:textFill>
            <w14:solidFill>
              <w14:schemeClr w14:val="tx1"/>
            </w14:solidFill>
          </w14:textFill>
        </w:rPr>
        <w:t>受疫情影响全面缩减项目支出</w:t>
      </w:r>
      <w:r>
        <w:rPr>
          <w:rFonts w:hint="eastAsia" w:ascii="Times New Roman" w:hAnsi="Times New Roman" w:eastAsia="仿宋_GB2312" w:cs="Times New Roman"/>
          <w:color w:val="auto"/>
          <w:spacing w:val="-2"/>
          <w:sz w:val="32"/>
          <w:szCs w:val="32"/>
          <w:lang w:val="zh-CN" w:eastAsia="zh-CN"/>
        </w:rPr>
        <w:t>。</w:t>
      </w:r>
      <w:r>
        <w:rPr>
          <w:rFonts w:hint="eastAsia" w:ascii="Times New Roman" w:hAnsi="Times New Roman" w:eastAsia="仿宋_GB2312" w:cs="Times New Roman"/>
          <w:color w:val="auto"/>
          <w:spacing w:val="-2"/>
          <w:sz w:val="32"/>
          <w:szCs w:val="32"/>
          <w:lang w:val="en-US" w:eastAsia="zh-CN"/>
        </w:rPr>
        <w:t>202</w:t>
      </w:r>
      <w:r>
        <w:rPr>
          <w:rFonts w:hint="eastAsia" w:cs="Times New Roman"/>
          <w:color w:val="auto"/>
          <w:spacing w:val="-2"/>
          <w:sz w:val="32"/>
          <w:szCs w:val="32"/>
          <w:lang w:val="en-US" w:eastAsia="zh-CN"/>
        </w:rPr>
        <w:t>2</w:t>
      </w:r>
      <w:r>
        <w:rPr>
          <w:rFonts w:hint="eastAsia" w:ascii="Times New Roman" w:hAnsi="Times New Roman" w:eastAsia="仿宋_GB2312" w:cs="Times New Roman"/>
          <w:color w:val="auto"/>
          <w:spacing w:val="-2"/>
          <w:sz w:val="32"/>
          <w:szCs w:val="32"/>
          <w:lang w:val="en-US" w:eastAsia="zh-CN"/>
        </w:rPr>
        <w:t>年申报项目共</w:t>
      </w:r>
      <w:r>
        <w:rPr>
          <w:rFonts w:hint="eastAsia" w:cs="Times New Roman"/>
          <w:color w:val="auto"/>
          <w:spacing w:val="-2"/>
          <w:sz w:val="32"/>
          <w:szCs w:val="32"/>
          <w:lang w:val="en-US" w:eastAsia="zh-CN"/>
        </w:rPr>
        <w:t>8</w:t>
      </w:r>
      <w:r>
        <w:rPr>
          <w:rFonts w:hint="eastAsia" w:ascii="Times New Roman" w:hAnsi="Times New Roman" w:eastAsia="仿宋_GB2312" w:cs="Times New Roman"/>
          <w:color w:val="auto"/>
          <w:spacing w:val="-2"/>
          <w:sz w:val="32"/>
          <w:szCs w:val="32"/>
          <w:lang w:val="en-US" w:eastAsia="zh-CN"/>
        </w:rPr>
        <w:t>个，包含</w:t>
      </w:r>
      <w:r>
        <w:rPr>
          <w:rFonts w:hint="eastAsia" w:ascii="Times New Roman" w:hAnsi="Times New Roman" w:cs="Times New Roman"/>
          <w:color w:val="auto"/>
          <w:kern w:val="2"/>
          <w:sz w:val="32"/>
          <w:szCs w:val="32"/>
          <w:lang w:val="en-US" w:eastAsia="zh-CN" w:bidi="ar-SA"/>
        </w:rPr>
        <w:t>背街小巷清扫保洁经费、</w:t>
      </w:r>
      <w:r>
        <w:rPr>
          <w:rFonts w:hint="eastAsia" w:ascii="Times New Roman" w:hAnsi="Times New Roman" w:eastAsia="仿宋_GB2312" w:cs="Times New Roman"/>
          <w:color w:val="auto"/>
          <w:spacing w:val="-2"/>
          <w:sz w:val="32"/>
          <w:szCs w:val="32"/>
          <w:lang w:val="en-US" w:eastAsia="zh-CN"/>
        </w:rPr>
        <w:t>城市管理、公共服务、</w:t>
      </w:r>
      <w:r>
        <w:rPr>
          <w:rFonts w:hint="eastAsia" w:ascii="Times New Roman" w:hAnsi="Times New Roman" w:eastAsia="仿宋_GB2312" w:cs="Times New Roman"/>
          <w:color w:val="auto"/>
          <w:kern w:val="2"/>
          <w:sz w:val="32"/>
          <w:szCs w:val="32"/>
          <w:lang w:val="en-US" w:eastAsia="zh-CN" w:bidi="ar-SA"/>
        </w:rPr>
        <w:t>两保人员经费</w:t>
      </w:r>
      <w:r>
        <w:rPr>
          <w:rFonts w:hint="eastAsia" w:ascii="Times New Roman" w:hAnsi="Times New Roman" w:cs="Times New Roman"/>
          <w:color w:val="auto"/>
          <w:kern w:val="2"/>
          <w:sz w:val="32"/>
          <w:szCs w:val="32"/>
          <w:lang w:val="en-US" w:eastAsia="zh-CN" w:bidi="ar-SA"/>
        </w:rPr>
        <w:t>、</w:t>
      </w:r>
      <w:r>
        <w:rPr>
          <w:rFonts w:hint="eastAsia" w:ascii="Times New Roman" w:hAnsi="Times New Roman" w:eastAsia="仿宋_GB2312" w:cs="Times New Roman"/>
          <w:color w:val="auto"/>
          <w:spacing w:val="-2"/>
          <w:sz w:val="32"/>
          <w:szCs w:val="32"/>
          <w:lang w:val="en-US" w:eastAsia="zh-CN"/>
        </w:rPr>
        <w:t>其他事务</w:t>
      </w:r>
      <w:r>
        <w:rPr>
          <w:rFonts w:hint="eastAsia" w:ascii="Times New Roman" w:hAnsi="Times New Roman" w:cs="Times New Roman"/>
          <w:color w:val="auto"/>
          <w:spacing w:val="-2"/>
          <w:sz w:val="32"/>
          <w:szCs w:val="32"/>
          <w:lang w:val="en-US" w:eastAsia="zh-CN"/>
        </w:rPr>
        <w:t>、</w:t>
      </w:r>
      <w:r>
        <w:rPr>
          <w:rFonts w:hint="eastAsia" w:ascii="Times New Roman" w:hAnsi="Times New Roman" w:eastAsia="仿宋_GB2312" w:cs="Times New Roman"/>
          <w:color w:val="auto"/>
          <w:spacing w:val="-2"/>
          <w:sz w:val="32"/>
          <w:szCs w:val="32"/>
          <w:lang w:val="en-US" w:eastAsia="zh-CN"/>
        </w:rPr>
        <w:t>社会管理、</w:t>
      </w:r>
      <w:r>
        <w:rPr>
          <w:rFonts w:hint="eastAsia" w:ascii="Times New Roman" w:hAnsi="Times New Roman" w:eastAsia="仿宋_GB2312" w:cs="Times New Roman"/>
          <w:color w:val="auto"/>
          <w:kern w:val="2"/>
          <w:sz w:val="32"/>
          <w:szCs w:val="32"/>
          <w:lang w:val="en-US" w:eastAsia="zh-CN" w:bidi="ar-SA"/>
        </w:rPr>
        <w:t>协管员工资保险经费</w:t>
      </w:r>
      <w:r>
        <w:rPr>
          <w:rFonts w:hint="eastAsia" w:ascii="Times New Roman" w:hAnsi="Times New Roman" w:cs="Times New Roman"/>
          <w:color w:val="auto"/>
          <w:kern w:val="2"/>
          <w:sz w:val="32"/>
          <w:szCs w:val="32"/>
          <w:lang w:val="en-US" w:eastAsia="zh-CN" w:bidi="ar-SA"/>
        </w:rPr>
        <w:t>、</w:t>
      </w:r>
      <w:r>
        <w:rPr>
          <w:rFonts w:hint="eastAsia" w:ascii="Times New Roman" w:hAnsi="Times New Roman" w:eastAsia="仿宋_GB2312" w:cs="Times New Roman"/>
          <w:color w:val="auto"/>
          <w:kern w:val="2"/>
          <w:sz w:val="32"/>
          <w:szCs w:val="32"/>
          <w:lang w:val="en-US" w:eastAsia="zh-CN" w:bidi="ar-SA"/>
        </w:rPr>
        <w:t>治安巡防队员、流动人口协管员经费</w:t>
      </w:r>
      <w:r>
        <w:rPr>
          <w:rFonts w:hint="eastAsia" w:ascii="Times New Roman" w:hAnsi="Times New Roman" w:eastAsia="仿宋_GB2312" w:cs="Times New Roman"/>
          <w:color w:val="auto"/>
          <w:spacing w:val="-2"/>
          <w:sz w:val="32"/>
          <w:szCs w:val="32"/>
          <w:lang w:val="en-US" w:eastAsia="zh-CN"/>
        </w:rPr>
        <w:t>。</w:t>
      </w:r>
      <w:r>
        <w:rPr>
          <w:rFonts w:hint="eastAsia" w:cs="Times New Roman"/>
          <w:color w:val="auto"/>
          <w:spacing w:val="-2"/>
          <w:sz w:val="32"/>
          <w:szCs w:val="32"/>
          <w:lang w:val="en-US" w:eastAsia="zh-CN"/>
        </w:rPr>
        <w:t>其中</w:t>
      </w:r>
      <w:r>
        <w:rPr>
          <w:rFonts w:hint="eastAsia" w:ascii="Times New Roman" w:hAnsi="Times New Roman" w:cs="Times New Roman"/>
          <w:color w:val="auto"/>
          <w:kern w:val="2"/>
          <w:sz w:val="32"/>
          <w:szCs w:val="32"/>
          <w:lang w:val="en-US" w:eastAsia="zh-CN" w:bidi="ar-SA"/>
        </w:rPr>
        <w:t>背街小巷清扫保洁经费</w:t>
      </w:r>
      <w:r>
        <w:rPr>
          <w:rFonts w:hint="eastAsia" w:cs="Times New Roman"/>
          <w:color w:val="auto"/>
          <w:spacing w:val="-2"/>
          <w:sz w:val="32"/>
          <w:szCs w:val="32"/>
          <w:lang w:val="en-US" w:eastAsia="zh-CN"/>
        </w:rPr>
        <w:t>支出201.35万元，主要用于确保背街小巷清扫保洁经费按时足额下拨至社区，维护辖区整体环境卫生情况；</w:t>
      </w:r>
      <w:r>
        <w:rPr>
          <w:rFonts w:hint="eastAsia" w:ascii="Times New Roman" w:hAnsi="Times New Roman" w:eastAsia="仿宋_GB2312" w:cs="Times New Roman"/>
          <w:color w:val="auto"/>
          <w:spacing w:val="-2"/>
          <w:sz w:val="32"/>
          <w:szCs w:val="32"/>
          <w:lang w:val="en-US" w:eastAsia="zh-CN"/>
        </w:rPr>
        <w:t>城市管理</w:t>
      </w:r>
      <w:r>
        <w:rPr>
          <w:rFonts w:hint="eastAsia" w:ascii="Times New Roman" w:hAnsi="Times New Roman" w:cs="Times New Roman"/>
          <w:color w:val="auto"/>
          <w:spacing w:val="-2"/>
          <w:sz w:val="32"/>
          <w:szCs w:val="32"/>
          <w:lang w:val="en-US" w:eastAsia="zh-CN"/>
        </w:rPr>
        <w:t>项目支出4</w:t>
      </w:r>
      <w:r>
        <w:rPr>
          <w:rFonts w:hint="eastAsia" w:cs="Times New Roman"/>
          <w:color w:val="auto"/>
          <w:spacing w:val="-2"/>
          <w:sz w:val="32"/>
          <w:szCs w:val="32"/>
          <w:lang w:val="en-US" w:eastAsia="zh-CN"/>
        </w:rPr>
        <w:t>65.40</w:t>
      </w:r>
      <w:r>
        <w:rPr>
          <w:rFonts w:hint="eastAsia" w:ascii="Times New Roman" w:hAnsi="Times New Roman" w:cs="Times New Roman"/>
          <w:color w:val="auto"/>
          <w:spacing w:val="-2"/>
          <w:sz w:val="32"/>
          <w:szCs w:val="32"/>
          <w:lang w:val="en-US" w:eastAsia="zh-CN"/>
        </w:rPr>
        <w:t>万元，</w:t>
      </w:r>
      <w:r>
        <w:rPr>
          <w:rFonts w:hint="eastAsia" w:ascii="仿宋" w:hAnsi="仿宋" w:eastAsia="仿宋" w:cs="仿宋"/>
          <w:i w:val="0"/>
          <w:caps w:val="0"/>
          <w:color w:val="auto"/>
          <w:spacing w:val="0"/>
          <w:sz w:val="32"/>
          <w:szCs w:val="32"/>
          <w:highlight w:val="none"/>
          <w:shd w:val="clear" w:fill="FFFFFF"/>
        </w:rPr>
        <w:t>主要用于市容环境卫生、环保、日常整治、拆控违、防汛防旱、爱卫、餐厨垃圾整治、数字化、提质改造、招牌整治、河堤河滩、垃圾分类、蓝天保卫战、文明创建、安全生产、食品安全等工作</w:t>
      </w:r>
      <w:r>
        <w:rPr>
          <w:rFonts w:hint="eastAsia" w:ascii="Times New Roman" w:hAnsi="Times New Roman" w:eastAsia="仿宋_GB2312" w:cs="Times New Roman"/>
          <w:color w:val="auto"/>
          <w:spacing w:val="-2"/>
          <w:sz w:val="32"/>
          <w:szCs w:val="32"/>
          <w:lang w:val="en-US" w:eastAsia="zh-CN"/>
        </w:rPr>
        <w:t>；公共服务</w:t>
      </w:r>
      <w:r>
        <w:rPr>
          <w:rFonts w:hint="eastAsia" w:cs="Times New Roman"/>
          <w:color w:val="auto"/>
          <w:spacing w:val="-2"/>
          <w:sz w:val="32"/>
          <w:szCs w:val="32"/>
          <w:lang w:val="en-US" w:eastAsia="zh-CN"/>
        </w:rPr>
        <w:t>项目</w:t>
      </w:r>
      <w:r>
        <w:rPr>
          <w:rFonts w:hint="eastAsia" w:ascii="Times New Roman" w:hAnsi="Times New Roman" w:eastAsia="仿宋_GB2312" w:cs="Times New Roman"/>
          <w:color w:val="auto"/>
          <w:spacing w:val="-2"/>
          <w:sz w:val="32"/>
          <w:szCs w:val="32"/>
          <w:lang w:val="en-US" w:eastAsia="zh-CN"/>
        </w:rPr>
        <w:t>支出</w:t>
      </w:r>
      <w:r>
        <w:rPr>
          <w:rFonts w:hint="eastAsia" w:cs="Times New Roman"/>
          <w:color w:val="auto"/>
          <w:spacing w:val="-2"/>
          <w:sz w:val="32"/>
          <w:szCs w:val="32"/>
          <w:lang w:val="en-US" w:eastAsia="zh-CN"/>
        </w:rPr>
        <w:t>1452.90</w:t>
      </w:r>
      <w:r>
        <w:rPr>
          <w:rFonts w:hint="eastAsia" w:ascii="Times New Roman" w:hAnsi="Times New Roman" w:eastAsia="仿宋_GB2312" w:cs="Times New Roman"/>
          <w:color w:val="auto"/>
          <w:spacing w:val="-2"/>
          <w:sz w:val="32"/>
          <w:szCs w:val="32"/>
          <w:lang w:val="en-US" w:eastAsia="zh-CN"/>
        </w:rPr>
        <w:t>万元，主要用于年度社会救助、老龄工作、救灾救济、拥军优属、劳动就业、社会保障、社区社会化组织管理、新冠肺炎疫情防控、卫生健康等工作；两保人员经费</w:t>
      </w:r>
      <w:r>
        <w:rPr>
          <w:rFonts w:hint="eastAsia" w:ascii="Times New Roman" w:hAnsi="Times New Roman" w:cs="Times New Roman"/>
          <w:color w:val="auto"/>
          <w:spacing w:val="-2"/>
          <w:sz w:val="32"/>
          <w:szCs w:val="32"/>
          <w:lang w:val="en-US" w:eastAsia="zh-CN"/>
        </w:rPr>
        <w:t>支出30.10万元，</w:t>
      </w:r>
      <w:r>
        <w:rPr>
          <w:rFonts w:hint="eastAsia" w:ascii="仿宋" w:hAnsi="仿宋" w:eastAsia="仿宋" w:cs="仿宋"/>
          <w:i w:val="0"/>
          <w:caps w:val="0"/>
          <w:color w:val="auto"/>
          <w:spacing w:val="0"/>
          <w:sz w:val="32"/>
          <w:szCs w:val="32"/>
          <w:highlight w:val="none"/>
          <w:shd w:val="clear" w:fill="FFFFFF"/>
        </w:rPr>
        <w:t>主要用于发放社保、低保专干工资</w:t>
      </w:r>
      <w:r>
        <w:rPr>
          <w:rFonts w:hint="eastAsia" w:ascii="仿宋" w:hAnsi="仿宋" w:eastAsia="仿宋" w:cs="仿宋"/>
          <w:i w:val="0"/>
          <w:caps w:val="0"/>
          <w:color w:val="auto"/>
          <w:spacing w:val="0"/>
          <w:sz w:val="32"/>
          <w:szCs w:val="32"/>
          <w:highlight w:val="none"/>
          <w:shd w:val="clear" w:fill="FFFFFF"/>
          <w:lang w:eastAsia="zh-CN"/>
        </w:rPr>
        <w:t>；</w:t>
      </w:r>
      <w:r>
        <w:rPr>
          <w:rFonts w:hint="eastAsia" w:ascii="Times New Roman" w:hAnsi="Times New Roman" w:eastAsia="仿宋_GB2312" w:cs="Times New Roman"/>
          <w:color w:val="auto"/>
          <w:spacing w:val="-2"/>
          <w:sz w:val="32"/>
          <w:szCs w:val="32"/>
          <w:lang w:val="en-US" w:eastAsia="zh-CN"/>
        </w:rPr>
        <w:t>其他事务</w:t>
      </w:r>
      <w:r>
        <w:rPr>
          <w:rFonts w:hint="eastAsia" w:cs="Times New Roman"/>
          <w:color w:val="auto"/>
          <w:spacing w:val="-2"/>
          <w:sz w:val="32"/>
          <w:szCs w:val="32"/>
          <w:lang w:val="en-US" w:eastAsia="zh-CN"/>
        </w:rPr>
        <w:t>项目支出299.68</w:t>
      </w:r>
      <w:r>
        <w:rPr>
          <w:rFonts w:hint="eastAsia" w:ascii="Times New Roman" w:hAnsi="Times New Roman" w:eastAsia="仿宋_GB2312" w:cs="Times New Roman"/>
          <w:color w:val="auto"/>
          <w:spacing w:val="-2"/>
          <w:sz w:val="32"/>
          <w:szCs w:val="32"/>
          <w:lang w:val="en-US" w:eastAsia="zh-CN"/>
        </w:rPr>
        <w:t>万元，</w:t>
      </w:r>
      <w:r>
        <w:rPr>
          <w:rFonts w:hint="eastAsia" w:ascii="Times New Roman" w:hAnsi="Times New Roman" w:cs="Times New Roman"/>
          <w:color w:val="auto"/>
          <w:spacing w:val="-2"/>
          <w:sz w:val="32"/>
          <w:szCs w:val="32"/>
          <w:lang w:val="en-US" w:eastAsia="zh-CN"/>
        </w:rPr>
        <w:t>主要用于</w:t>
      </w:r>
      <w:r>
        <w:rPr>
          <w:rFonts w:hint="eastAsia" w:ascii="Times New Roman" w:hAnsi="Times New Roman" w:eastAsia="仿宋_GB2312" w:cs="Times New Roman"/>
          <w:color w:val="auto"/>
          <w:spacing w:val="-2"/>
          <w:sz w:val="32"/>
          <w:szCs w:val="32"/>
          <w:lang w:val="en-US" w:eastAsia="zh-CN"/>
        </w:rPr>
        <w:t>保障各类人员工会福利待遇及社区14名退休人员工资、奖金</w:t>
      </w:r>
      <w:r>
        <w:rPr>
          <w:rFonts w:hint="eastAsia" w:ascii="Times New Roman" w:hAnsi="Times New Roman" w:cs="Times New Roman"/>
          <w:color w:val="auto"/>
          <w:spacing w:val="-2"/>
          <w:sz w:val="32"/>
          <w:szCs w:val="32"/>
          <w:lang w:val="en-US" w:eastAsia="zh-CN"/>
        </w:rPr>
        <w:t>；</w:t>
      </w:r>
      <w:r>
        <w:rPr>
          <w:rFonts w:hint="eastAsia" w:ascii="Times New Roman" w:hAnsi="Times New Roman" w:eastAsia="仿宋_GB2312" w:cs="Times New Roman"/>
          <w:color w:val="auto"/>
          <w:spacing w:val="-2"/>
          <w:sz w:val="32"/>
          <w:szCs w:val="32"/>
          <w:lang w:val="en-US" w:eastAsia="zh-CN"/>
        </w:rPr>
        <w:t>社会管理</w:t>
      </w:r>
      <w:r>
        <w:rPr>
          <w:rFonts w:hint="eastAsia" w:cs="Times New Roman"/>
          <w:color w:val="auto"/>
          <w:spacing w:val="-2"/>
          <w:sz w:val="32"/>
          <w:szCs w:val="32"/>
          <w:lang w:val="en-US" w:eastAsia="zh-CN"/>
        </w:rPr>
        <w:t>项目</w:t>
      </w:r>
      <w:r>
        <w:rPr>
          <w:rFonts w:hint="eastAsia" w:ascii="Times New Roman" w:hAnsi="Times New Roman" w:eastAsia="仿宋_GB2312" w:cs="Times New Roman"/>
          <w:color w:val="auto"/>
          <w:spacing w:val="-2"/>
          <w:sz w:val="32"/>
          <w:szCs w:val="32"/>
          <w:lang w:val="en-US" w:eastAsia="zh-CN"/>
        </w:rPr>
        <w:t>支出</w:t>
      </w:r>
      <w:r>
        <w:rPr>
          <w:rFonts w:hint="eastAsia" w:cs="Times New Roman"/>
          <w:color w:val="auto"/>
          <w:spacing w:val="-2"/>
          <w:sz w:val="32"/>
          <w:szCs w:val="32"/>
          <w:lang w:val="en-US" w:eastAsia="zh-CN"/>
        </w:rPr>
        <w:t>239.25</w:t>
      </w:r>
      <w:r>
        <w:rPr>
          <w:rFonts w:hint="eastAsia" w:ascii="Times New Roman" w:hAnsi="Times New Roman" w:eastAsia="仿宋_GB2312" w:cs="Times New Roman"/>
          <w:color w:val="auto"/>
          <w:spacing w:val="-2"/>
          <w:sz w:val="32"/>
          <w:szCs w:val="32"/>
          <w:lang w:val="en-US" w:eastAsia="zh-CN"/>
        </w:rPr>
        <w:t>万元，主要用于人民武装、基层党建、纪检监察、普法教育、司法、党政、维护社会稳定等工作；协管员工资保险经费支出</w:t>
      </w:r>
      <w:r>
        <w:rPr>
          <w:rFonts w:hint="eastAsia" w:cs="Times New Roman"/>
          <w:color w:val="auto"/>
          <w:spacing w:val="-2"/>
          <w:sz w:val="32"/>
          <w:szCs w:val="32"/>
          <w:lang w:val="en-US" w:eastAsia="zh-CN"/>
        </w:rPr>
        <w:t>80.44</w:t>
      </w:r>
      <w:r>
        <w:rPr>
          <w:rFonts w:hint="eastAsia" w:ascii="Times New Roman" w:hAnsi="Times New Roman" w:eastAsia="仿宋_GB2312" w:cs="Times New Roman"/>
          <w:color w:val="auto"/>
          <w:spacing w:val="-2"/>
          <w:sz w:val="32"/>
          <w:szCs w:val="32"/>
          <w:lang w:val="en-US" w:eastAsia="zh-CN"/>
        </w:rPr>
        <w:t>万元，主要</w:t>
      </w:r>
      <w:r>
        <w:rPr>
          <w:rFonts w:hint="eastAsia" w:ascii="Times New Roman" w:hAnsi="Times New Roman" w:cs="Times New Roman"/>
          <w:color w:val="auto"/>
          <w:spacing w:val="-2"/>
          <w:sz w:val="32"/>
          <w:szCs w:val="32"/>
          <w:lang w:val="en-US" w:eastAsia="zh-CN"/>
        </w:rPr>
        <w:t>用于发放城管协管员工资并缴纳保险等</w:t>
      </w:r>
      <w:r>
        <w:rPr>
          <w:rFonts w:hint="eastAsia" w:ascii="Times New Roman" w:hAnsi="Times New Roman" w:eastAsia="仿宋_GB2312" w:cs="Times New Roman"/>
          <w:color w:val="auto"/>
          <w:spacing w:val="-2"/>
          <w:sz w:val="32"/>
          <w:szCs w:val="32"/>
          <w:lang w:val="en-US" w:eastAsia="zh-CN"/>
        </w:rPr>
        <w:t>；治安巡防队员、流动人口协管员经费支出</w:t>
      </w:r>
      <w:r>
        <w:rPr>
          <w:rFonts w:hint="eastAsia" w:cs="Times New Roman"/>
          <w:color w:val="auto"/>
          <w:spacing w:val="-2"/>
          <w:sz w:val="32"/>
          <w:szCs w:val="32"/>
          <w:lang w:val="en-US" w:eastAsia="zh-CN"/>
        </w:rPr>
        <w:t>141.10</w:t>
      </w:r>
      <w:r>
        <w:rPr>
          <w:rFonts w:hint="eastAsia" w:ascii="Times New Roman" w:hAnsi="Times New Roman" w:eastAsia="仿宋_GB2312" w:cs="Times New Roman"/>
          <w:color w:val="auto"/>
          <w:spacing w:val="-2"/>
          <w:sz w:val="32"/>
          <w:szCs w:val="32"/>
          <w:lang w:val="en-US" w:eastAsia="zh-CN"/>
        </w:rPr>
        <w:t>万元，主要</w:t>
      </w:r>
      <w:r>
        <w:rPr>
          <w:rFonts w:hint="eastAsia" w:ascii="Times New Roman" w:hAnsi="Times New Roman" w:cs="Times New Roman"/>
          <w:color w:val="auto"/>
          <w:spacing w:val="-2"/>
          <w:sz w:val="32"/>
          <w:szCs w:val="32"/>
          <w:lang w:val="en-US" w:eastAsia="zh-CN"/>
        </w:rPr>
        <w:t>用于发放治安巡防队员、流动人口协管员工资、奖金，按月缴纳保险等</w:t>
      </w:r>
      <w:r>
        <w:rPr>
          <w:rFonts w:hint="eastAsia" w:ascii="Times New Roman" w:hAnsi="Times New Roman" w:eastAsia="仿宋_GB2312" w:cs="Times New Roman"/>
          <w:color w:val="auto"/>
          <w:spacing w:val="-2"/>
          <w:sz w:val="32"/>
          <w:szCs w:val="32"/>
          <w:lang w:val="en-US" w:eastAsia="zh-CN"/>
        </w:rPr>
        <w:t>。</w:t>
      </w:r>
    </w:p>
    <w:p>
      <w:pPr>
        <w:pStyle w:val="8"/>
        <w:numPr>
          <w:ilvl w:val="0"/>
          <w:numId w:val="2"/>
        </w:numPr>
        <w:spacing w:line="600" w:lineRule="exact"/>
        <w:ind w:firstLine="640"/>
        <w:rPr>
          <w:rFonts w:ascii="Times New Roman" w:hAnsi="Times New Roman" w:eastAsia="黑体"/>
          <w:sz w:val="32"/>
          <w:szCs w:val="32"/>
        </w:rPr>
      </w:pPr>
      <w:r>
        <w:rPr>
          <w:rFonts w:ascii="Times New Roman" w:hAnsi="Times New Roman" w:eastAsia="黑体"/>
          <w:sz w:val="32"/>
          <w:szCs w:val="32"/>
        </w:rPr>
        <w:t>政府性基金预算支出情况</w:t>
      </w:r>
    </w:p>
    <w:p>
      <w:pPr>
        <w:pStyle w:val="8"/>
        <w:numPr>
          <w:ilvl w:val="0"/>
          <w:numId w:val="0"/>
        </w:numPr>
        <w:spacing w:line="600" w:lineRule="exact"/>
        <w:ind w:firstLine="632" w:firstLineChars="200"/>
        <w:rPr>
          <w:rFonts w:hint="default" w:ascii="Times New Roman" w:hAnsi="Times New Roman" w:eastAsia="仿宋_GB2312" w:cs="Times New Roman"/>
          <w:color w:val="auto"/>
          <w:spacing w:val="-2"/>
          <w:kern w:val="2"/>
          <w:sz w:val="32"/>
          <w:szCs w:val="32"/>
          <w:lang w:val="en-US" w:eastAsia="zh-CN" w:bidi="ar-SA"/>
        </w:rPr>
      </w:pPr>
      <w:r>
        <w:rPr>
          <w:rFonts w:hint="eastAsia" w:ascii="Times New Roman" w:hAnsi="Times New Roman" w:eastAsia="仿宋_GB2312" w:cs="Times New Roman"/>
          <w:color w:val="auto"/>
          <w:spacing w:val="-2"/>
          <w:kern w:val="2"/>
          <w:sz w:val="32"/>
          <w:szCs w:val="32"/>
          <w:lang w:val="en-US" w:eastAsia="zh-CN" w:bidi="ar-SA"/>
        </w:rPr>
        <w:t>2022年政府性基金预算支出16万元，其中项目支出16万元，</w:t>
      </w:r>
      <w:r>
        <w:rPr>
          <w:rFonts w:hint="eastAsia" w:ascii="Times New Roman" w:hAnsi="Times New Roman" w:eastAsia="仿宋_GB2312" w:cs="Times New Roman"/>
          <w:color w:val="auto"/>
          <w:spacing w:val="-2"/>
          <w:sz w:val="32"/>
          <w:szCs w:val="32"/>
          <w:lang w:val="en-US" w:eastAsia="zh-CN"/>
        </w:rPr>
        <w:t>比上年增加9.51万元，增长146.45</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w:t>
      </w:r>
      <w:r>
        <w:rPr>
          <w:rFonts w:hint="eastAsia" w:ascii="Times New Roman" w:hAnsi="Times New Roman" w:eastAsia="仿宋_GB2312" w:cs="Times New Roman"/>
          <w:color w:val="auto"/>
          <w:spacing w:val="-2"/>
          <w:sz w:val="32"/>
          <w:szCs w:val="32"/>
          <w:lang w:val="en-US" w:eastAsia="zh-CN"/>
        </w:rPr>
        <w:t>；增长</w:t>
      </w:r>
      <w:r>
        <w:rPr>
          <w:rFonts w:hint="eastAsia" w:ascii="Times New Roman" w:hAnsi="Times New Roman" w:eastAsia="仿宋_GB2312" w:cs="Times New Roman"/>
          <w:color w:val="auto"/>
          <w:spacing w:val="-2"/>
          <w:sz w:val="32"/>
          <w:szCs w:val="32"/>
          <w:lang w:val="zh-CN" w:eastAsia="zh-CN"/>
        </w:rPr>
        <w:t>的主要原因是：</w:t>
      </w:r>
      <w:r>
        <w:rPr>
          <w:rFonts w:hint="eastAsia" w:ascii="Times New Roman" w:hAnsi="Times New Roman" w:eastAsia="仿宋_GB2312" w:cs="Times New Roman"/>
          <w:color w:val="000000" w:themeColor="text1"/>
          <w:kern w:val="2"/>
          <w:sz w:val="32"/>
          <w:szCs w:val="32"/>
          <w:lang w:val="zh-CN" w:eastAsia="zh-CN" w:bidi="ar-SA"/>
          <w14:textFill>
            <w14:solidFill>
              <w14:schemeClr w14:val="tx1"/>
            </w14:solidFill>
          </w14:textFill>
        </w:rPr>
        <w:t>政府性基金预算财政拨款收入增加</w:t>
      </w:r>
      <w:r>
        <w:rPr>
          <w:rFonts w:hint="eastAsia" w:ascii="Times New Roman" w:hAnsi="Times New Roman" w:eastAsia="仿宋_GB2312" w:cs="Times New Roman"/>
          <w:color w:val="auto"/>
          <w:spacing w:val="-2"/>
          <w:sz w:val="32"/>
          <w:szCs w:val="32"/>
          <w:lang w:val="zh-CN" w:eastAsia="zh-CN"/>
        </w:rPr>
        <w:t>。</w:t>
      </w:r>
    </w:p>
    <w:p>
      <w:pPr>
        <w:pStyle w:val="8"/>
        <w:numPr>
          <w:ilvl w:val="0"/>
          <w:numId w:val="2"/>
        </w:numPr>
        <w:spacing w:line="600" w:lineRule="exact"/>
        <w:ind w:left="0" w:leftChars="0" w:firstLine="640" w:firstLineChars="200"/>
        <w:rPr>
          <w:rFonts w:ascii="Times New Roman" w:hAnsi="Times New Roman" w:eastAsia="黑体"/>
          <w:sz w:val="32"/>
          <w:szCs w:val="32"/>
        </w:rPr>
      </w:pPr>
      <w:r>
        <w:rPr>
          <w:rFonts w:ascii="Times New Roman" w:hAnsi="Times New Roman" w:eastAsia="黑体"/>
          <w:sz w:val="32"/>
          <w:szCs w:val="32"/>
        </w:rPr>
        <w:t>国有资本经营预算支出情况</w:t>
      </w:r>
    </w:p>
    <w:p>
      <w:pPr>
        <w:pStyle w:val="8"/>
        <w:numPr>
          <w:ilvl w:val="0"/>
          <w:numId w:val="0"/>
        </w:numPr>
        <w:spacing w:line="600" w:lineRule="exact"/>
        <w:ind w:firstLine="632" w:firstLineChars="200"/>
        <w:rPr>
          <w:rFonts w:ascii="Times New Roman" w:hAnsi="Times New Roman" w:eastAsia="黑体"/>
          <w:sz w:val="32"/>
          <w:szCs w:val="32"/>
        </w:rPr>
      </w:pPr>
      <w:r>
        <w:rPr>
          <w:rFonts w:hint="eastAsia" w:ascii="Times New Roman" w:hAnsi="Times New Roman" w:eastAsia="仿宋_GB2312" w:cs="Times New Roman"/>
          <w:color w:val="auto"/>
          <w:spacing w:val="-2"/>
          <w:kern w:val="2"/>
          <w:sz w:val="32"/>
          <w:szCs w:val="32"/>
          <w:lang w:val="en-US" w:eastAsia="zh-CN" w:bidi="ar-SA"/>
        </w:rPr>
        <w:t>2022年国有资本经营预算支出38.45万元，</w:t>
      </w:r>
      <w:r>
        <w:rPr>
          <w:rFonts w:hint="eastAsia" w:ascii="Times New Roman" w:hAnsi="Times New Roman" w:eastAsia="仿宋_GB2312" w:cs="Times New Roman"/>
          <w:color w:val="auto"/>
          <w:spacing w:val="-2"/>
          <w:sz w:val="32"/>
          <w:szCs w:val="32"/>
          <w:lang w:val="en-US" w:eastAsia="zh-CN"/>
        </w:rPr>
        <w:t>比上年增加</w:t>
      </w:r>
      <w:r>
        <w:rPr>
          <w:rFonts w:hint="eastAsia" w:ascii="Times New Roman" w:hAnsi="Times New Roman" w:eastAsia="仿宋_GB2312" w:cs="Times New Roman"/>
          <w:color w:val="auto"/>
          <w:spacing w:val="-2"/>
          <w:kern w:val="2"/>
          <w:sz w:val="32"/>
          <w:szCs w:val="32"/>
          <w:lang w:val="en-US" w:eastAsia="zh-CN" w:bidi="ar-SA"/>
        </w:rPr>
        <w:t>38.45</w:t>
      </w:r>
      <w:r>
        <w:rPr>
          <w:rFonts w:hint="eastAsia" w:ascii="Times New Roman" w:hAnsi="Times New Roman" w:eastAsia="仿宋_GB2312" w:cs="Times New Roman"/>
          <w:color w:val="auto"/>
          <w:spacing w:val="-2"/>
          <w:sz w:val="32"/>
          <w:szCs w:val="32"/>
          <w:lang w:val="en-US" w:eastAsia="zh-CN"/>
        </w:rPr>
        <w:t>万元，增长100</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w:t>
      </w:r>
      <w:r>
        <w:rPr>
          <w:rFonts w:hint="eastAsia" w:ascii="Times New Roman" w:hAnsi="Times New Roman" w:eastAsia="仿宋_GB2312" w:cs="Times New Roman"/>
          <w:color w:val="auto"/>
          <w:spacing w:val="-2"/>
          <w:sz w:val="32"/>
          <w:szCs w:val="32"/>
          <w:lang w:val="en-US" w:eastAsia="zh-CN"/>
        </w:rPr>
        <w:t>；增长</w:t>
      </w:r>
      <w:r>
        <w:rPr>
          <w:rFonts w:hint="eastAsia" w:ascii="Times New Roman" w:hAnsi="Times New Roman" w:eastAsia="仿宋_GB2312" w:cs="Times New Roman"/>
          <w:color w:val="auto"/>
          <w:spacing w:val="-2"/>
          <w:sz w:val="32"/>
          <w:szCs w:val="32"/>
          <w:lang w:val="zh-CN" w:eastAsia="zh-CN"/>
        </w:rPr>
        <w:t>的主要原因是：</w:t>
      </w:r>
      <w:r>
        <w:rPr>
          <w:rFonts w:hint="eastAsia" w:ascii="Times New Roman" w:hAnsi="Times New Roman" w:eastAsia="仿宋_GB2312" w:cs="Times New Roman"/>
          <w:color w:val="000000" w:themeColor="text1"/>
          <w:kern w:val="2"/>
          <w:sz w:val="32"/>
          <w:szCs w:val="32"/>
          <w:lang w:val="zh-CN" w:eastAsia="zh-CN" w:bidi="ar-SA"/>
          <w14:textFill>
            <w14:solidFill>
              <w14:schemeClr w14:val="tx1"/>
            </w14:solidFill>
          </w14:textFill>
        </w:rPr>
        <w:t>国有资本经营预算财政拨款收入增加</w:t>
      </w:r>
      <w:r>
        <w:rPr>
          <w:rFonts w:hint="eastAsia" w:ascii="Times New Roman" w:hAnsi="Times New Roman" w:eastAsia="仿宋_GB2312" w:cs="Times New Roman"/>
          <w:color w:val="auto"/>
          <w:spacing w:val="-2"/>
          <w:sz w:val="32"/>
          <w:szCs w:val="32"/>
          <w:lang w:val="zh-CN" w:eastAsia="zh-CN"/>
        </w:rPr>
        <w:t>。</w:t>
      </w:r>
    </w:p>
    <w:p>
      <w:pPr>
        <w:pStyle w:val="8"/>
        <w:numPr>
          <w:ilvl w:val="0"/>
          <w:numId w:val="2"/>
        </w:numPr>
        <w:spacing w:line="600" w:lineRule="exact"/>
        <w:ind w:left="0" w:leftChars="0" w:firstLine="640" w:firstLineChars="200"/>
        <w:rPr>
          <w:rFonts w:ascii="Times New Roman" w:hAnsi="Times New Roman" w:eastAsia="黑体"/>
          <w:sz w:val="32"/>
          <w:szCs w:val="32"/>
        </w:rPr>
      </w:pPr>
      <w:r>
        <w:rPr>
          <w:rFonts w:ascii="Times New Roman" w:hAnsi="Times New Roman" w:eastAsia="黑体"/>
          <w:sz w:val="32"/>
          <w:szCs w:val="32"/>
        </w:rPr>
        <w:t>社会保险基金预算支出情况</w:t>
      </w:r>
    </w:p>
    <w:p>
      <w:pPr>
        <w:pStyle w:val="8"/>
        <w:numPr>
          <w:ilvl w:val="0"/>
          <w:numId w:val="0"/>
        </w:numPr>
        <w:spacing w:line="600" w:lineRule="exact"/>
        <w:ind w:leftChars="200"/>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2022年无</w:t>
      </w:r>
      <w:r>
        <w:rPr>
          <w:rFonts w:ascii="Times New Roman" w:hAnsi="Times New Roman" w:eastAsia="仿宋_GB2312" w:cs="Times New Roman"/>
          <w:color w:val="000000"/>
          <w:kern w:val="2"/>
          <w:sz w:val="32"/>
          <w:szCs w:val="32"/>
          <w:lang w:val="en-US" w:eastAsia="zh-CN" w:bidi="ar-SA"/>
        </w:rPr>
        <w:t>社会保险基金预算支出</w:t>
      </w:r>
      <w:r>
        <w:rPr>
          <w:rFonts w:hint="eastAsia" w:ascii="Times New Roman" w:hAnsi="Times New Roman" w:eastAsia="仿宋_GB2312" w:cs="Times New Roman"/>
          <w:color w:val="000000"/>
          <w:kern w:val="2"/>
          <w:sz w:val="32"/>
          <w:szCs w:val="32"/>
          <w:lang w:val="en-US" w:eastAsia="zh-CN" w:bidi="ar-SA"/>
        </w:rPr>
        <w:t>。</w:t>
      </w:r>
    </w:p>
    <w:p>
      <w:pPr>
        <w:pStyle w:val="8"/>
        <w:numPr>
          <w:ilvl w:val="0"/>
          <w:numId w:val="2"/>
        </w:numPr>
        <w:spacing w:line="600" w:lineRule="exact"/>
        <w:ind w:left="0" w:leftChars="0" w:firstLine="640" w:firstLineChars="200"/>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其他支出情况</w:t>
      </w:r>
    </w:p>
    <w:p>
      <w:pPr>
        <w:pStyle w:val="8"/>
        <w:numPr>
          <w:ilvl w:val="0"/>
          <w:numId w:val="0"/>
        </w:numPr>
        <w:spacing w:line="600" w:lineRule="exact"/>
        <w:ind w:firstLine="632" w:firstLineChars="200"/>
        <w:rPr>
          <w:rFonts w:hint="default" w:ascii="Times New Roman" w:hAnsi="Times New Roman" w:eastAsia="黑体" w:cs="Times New Roman"/>
          <w:sz w:val="32"/>
          <w:szCs w:val="32"/>
          <w:lang w:val="en-US" w:eastAsia="zh-CN"/>
        </w:rPr>
      </w:pPr>
      <w:r>
        <w:rPr>
          <w:rFonts w:hint="eastAsia" w:ascii="Times New Roman" w:hAnsi="Times New Roman" w:eastAsia="仿宋_GB2312" w:cs="Times New Roman"/>
          <w:color w:val="auto"/>
          <w:spacing w:val="-2"/>
          <w:kern w:val="2"/>
          <w:sz w:val="32"/>
          <w:szCs w:val="32"/>
          <w:lang w:val="en-US" w:eastAsia="zh-CN" w:bidi="ar-SA"/>
        </w:rPr>
        <w:t>2022年其他支出72.55万元，</w:t>
      </w:r>
      <w:r>
        <w:rPr>
          <w:rFonts w:hint="eastAsia" w:ascii="Times New Roman" w:hAnsi="Times New Roman" w:eastAsia="仿宋_GB2312" w:cs="Times New Roman"/>
          <w:color w:val="auto"/>
          <w:spacing w:val="-2"/>
          <w:sz w:val="32"/>
          <w:szCs w:val="32"/>
          <w:lang w:val="en-US" w:eastAsia="zh-CN"/>
        </w:rPr>
        <w:t>比上年减少</w:t>
      </w:r>
      <w:r>
        <w:rPr>
          <w:rFonts w:hint="eastAsia" w:ascii="Times New Roman" w:hAnsi="Times New Roman" w:eastAsia="仿宋_GB2312" w:cs="Times New Roman"/>
          <w:color w:val="auto"/>
          <w:spacing w:val="-2"/>
          <w:kern w:val="2"/>
          <w:sz w:val="32"/>
          <w:szCs w:val="32"/>
          <w:lang w:val="en-US" w:eastAsia="zh-CN" w:bidi="ar-SA"/>
        </w:rPr>
        <w:t>76.31</w:t>
      </w:r>
      <w:r>
        <w:rPr>
          <w:rFonts w:hint="eastAsia" w:ascii="Times New Roman" w:hAnsi="Times New Roman" w:eastAsia="仿宋_GB2312" w:cs="Times New Roman"/>
          <w:color w:val="auto"/>
          <w:spacing w:val="-2"/>
          <w:sz w:val="32"/>
          <w:szCs w:val="32"/>
          <w:lang w:val="en-US" w:eastAsia="zh-CN"/>
        </w:rPr>
        <w:t>万元，下降51.26</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w:t>
      </w:r>
      <w:r>
        <w:rPr>
          <w:rFonts w:hint="eastAsia" w:ascii="Times New Roman" w:hAnsi="Times New Roman" w:eastAsia="仿宋_GB2312" w:cs="Times New Roman"/>
          <w:color w:val="auto"/>
          <w:spacing w:val="-2"/>
          <w:sz w:val="32"/>
          <w:szCs w:val="32"/>
          <w:lang w:val="en-US" w:eastAsia="zh-CN"/>
        </w:rPr>
        <w:t>下降</w:t>
      </w:r>
      <w:r>
        <w:rPr>
          <w:rFonts w:hint="eastAsia" w:ascii="Times New Roman" w:hAnsi="Times New Roman" w:eastAsia="仿宋_GB2312" w:cs="Times New Roman"/>
          <w:color w:val="auto"/>
          <w:spacing w:val="-2"/>
          <w:sz w:val="32"/>
          <w:szCs w:val="32"/>
          <w:lang w:val="zh-CN" w:eastAsia="zh-CN"/>
        </w:rPr>
        <w:t>的主要原因是：</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其他</w:t>
      </w:r>
      <w:r>
        <w:rPr>
          <w:rFonts w:hint="eastAsia" w:ascii="Times New Roman" w:hAnsi="Times New Roman" w:eastAsia="仿宋_GB2312" w:cs="Times New Roman"/>
          <w:color w:val="000000" w:themeColor="text1"/>
          <w:kern w:val="2"/>
          <w:sz w:val="32"/>
          <w:szCs w:val="32"/>
          <w:lang w:val="zh-CN" w:eastAsia="zh-CN" w:bidi="ar-SA"/>
          <w14:textFill>
            <w14:solidFill>
              <w14:schemeClr w14:val="tx1"/>
            </w14:solidFill>
          </w14:textFill>
        </w:rPr>
        <w:t>收入</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减少</w:t>
      </w:r>
      <w:r>
        <w:rPr>
          <w:rFonts w:hint="eastAsia" w:ascii="Times New Roman" w:hAnsi="Times New Roman" w:eastAsia="仿宋_GB2312" w:cs="Times New Roman"/>
          <w:color w:val="auto"/>
          <w:spacing w:val="-2"/>
          <w:sz w:val="32"/>
          <w:szCs w:val="32"/>
          <w:lang w:val="zh-CN" w:eastAsia="zh-CN"/>
        </w:rPr>
        <w:t>。</w:t>
      </w:r>
    </w:p>
    <w:p>
      <w:pPr>
        <w:spacing w:line="600" w:lineRule="exact"/>
        <w:ind w:firstLine="640" w:firstLineChars="200"/>
        <w:rPr>
          <w:rFonts w:eastAsia="黑体"/>
          <w:sz w:val="32"/>
          <w:szCs w:val="32"/>
        </w:rPr>
      </w:pPr>
      <w:r>
        <w:rPr>
          <w:rFonts w:hint="eastAsia" w:eastAsia="黑体"/>
          <w:sz w:val="32"/>
          <w:szCs w:val="32"/>
          <w:lang w:val="en-US" w:eastAsia="zh-CN"/>
        </w:rPr>
        <w:t>七</w:t>
      </w:r>
      <w:r>
        <w:rPr>
          <w:rFonts w:eastAsia="黑体"/>
          <w:sz w:val="32"/>
          <w:szCs w:val="32"/>
        </w:rPr>
        <w:t>、部门整体支出绩效情况</w:t>
      </w:r>
    </w:p>
    <w:p>
      <w:pPr>
        <w:spacing w:line="600" w:lineRule="exact"/>
        <w:ind w:firstLine="640" w:firstLineChars="200"/>
        <w:rPr>
          <w:rFonts w:hint="eastAsia"/>
          <w:color w:val="000000"/>
          <w:sz w:val="32"/>
          <w:szCs w:val="32"/>
          <w:lang w:val="en-US" w:eastAsia="zh-CN"/>
        </w:rPr>
      </w:pPr>
      <w:r>
        <w:rPr>
          <w:rFonts w:hint="eastAsia"/>
          <w:color w:val="000000"/>
          <w:sz w:val="32"/>
          <w:szCs w:val="32"/>
          <w:lang w:val="en-US" w:eastAsia="zh-CN"/>
        </w:rPr>
        <w:t>本年度</w:t>
      </w:r>
      <w:r>
        <w:rPr>
          <w:rFonts w:eastAsia="仿宋_GB2312"/>
          <w:color w:val="000000"/>
          <w:sz w:val="32"/>
          <w:szCs w:val="32"/>
        </w:rPr>
        <w:t>绩效目标完成情况</w:t>
      </w:r>
      <w:r>
        <w:rPr>
          <w:rFonts w:hint="eastAsia"/>
          <w:color w:val="000000"/>
          <w:sz w:val="32"/>
          <w:szCs w:val="32"/>
          <w:lang w:val="en-US" w:eastAsia="zh-CN"/>
        </w:rPr>
        <w:t>如下：</w:t>
      </w:r>
    </w:p>
    <w:p>
      <w:pPr>
        <w:spacing w:line="600" w:lineRule="exact"/>
        <w:ind w:firstLine="640" w:firstLineChars="200"/>
        <w:rPr>
          <w:rFonts w:hint="eastAsia"/>
          <w:color w:val="000000"/>
          <w:sz w:val="32"/>
          <w:szCs w:val="32"/>
          <w:lang w:val="en-US" w:eastAsia="zh-CN"/>
        </w:rPr>
      </w:pPr>
      <w:r>
        <w:rPr>
          <w:rFonts w:hint="eastAsia"/>
          <w:color w:val="000000"/>
          <w:sz w:val="32"/>
          <w:szCs w:val="32"/>
          <w:lang w:val="en-US" w:eastAsia="zh-CN"/>
        </w:rPr>
        <w:t>（一）党的建设全面加强</w:t>
      </w:r>
    </w:p>
    <w:p>
      <w:pPr>
        <w:spacing w:line="600" w:lineRule="exact"/>
        <w:ind w:firstLine="640" w:firstLineChars="200"/>
        <w:rPr>
          <w:rFonts w:hint="eastAsia"/>
          <w:color w:val="000000"/>
          <w:sz w:val="32"/>
          <w:szCs w:val="32"/>
          <w:lang w:val="en-US" w:eastAsia="zh-CN"/>
        </w:rPr>
      </w:pPr>
      <w:r>
        <w:rPr>
          <w:rFonts w:hint="eastAsia"/>
          <w:color w:val="000000"/>
          <w:sz w:val="32"/>
          <w:szCs w:val="32"/>
          <w:lang w:val="en-US" w:eastAsia="zh-CN"/>
        </w:rPr>
        <w:t>1.聚焦组织建设，把基础做强。新建两新党支部37家，覆盖企业、组织134家，在华创打造一家“外卖快递小哥红色之家”，顺达国际物流党支部入选第一批区级“标杆引领”党组织。按照“抓重点、治乱象、固根基、建机制”要求，做实基层党组织整建提质专项行动工作，补齐基层治理短板。联合辖区共建单位开展反诈、禁毒宣传活动50余场，制作反电诈宣传视频3个，发放宣传资料2万余份，发送公益禁毒反电诈短信2万余条；践行“人民+行政+司法”的三级联动调解机制，排查调解纠纷100余起，调处成功率达100%。</w:t>
      </w:r>
    </w:p>
    <w:p>
      <w:pPr>
        <w:spacing w:line="600" w:lineRule="exact"/>
        <w:ind w:firstLine="640" w:firstLineChars="200"/>
        <w:rPr>
          <w:rFonts w:hint="eastAsia"/>
          <w:color w:val="000000"/>
          <w:sz w:val="32"/>
          <w:szCs w:val="32"/>
          <w:lang w:val="en-US" w:eastAsia="zh-CN"/>
        </w:rPr>
      </w:pPr>
      <w:r>
        <w:rPr>
          <w:rFonts w:hint="eastAsia"/>
          <w:color w:val="000000"/>
          <w:sz w:val="32"/>
          <w:szCs w:val="32"/>
          <w:lang w:val="en-US" w:eastAsia="zh-CN"/>
        </w:rPr>
        <w:t>2.聚焦经济社会发展，把党建做实。把“党建+”模式融入街道中心工作。全面优化营商环境，切实落实区委区政府百名干部联千企“送政策、解难题、优服务”行动，开展“党建引领、助力千企”行动，创新服务企业方式，邀请辖区重点企业、区直部门开展“政企联心 共话发展”晚餐会，累计为“航天之星”等企业解决交通、租房、人才等问题19个，率先实现晚餐会问题解决率100%。建立区域化党建联盟，建立多方共治机制，推动27个驻区单位到街道、社区报到，构建“15分钟党建生活圈”，优化区域发展环境，助推区域发展。</w:t>
      </w:r>
    </w:p>
    <w:p>
      <w:pPr>
        <w:spacing w:line="600" w:lineRule="exact"/>
        <w:ind w:firstLine="640" w:firstLineChars="200"/>
        <w:rPr>
          <w:rFonts w:hint="eastAsia"/>
          <w:color w:val="000000"/>
          <w:sz w:val="32"/>
          <w:szCs w:val="32"/>
          <w:lang w:val="en-US" w:eastAsia="zh-CN"/>
        </w:rPr>
      </w:pPr>
      <w:r>
        <w:rPr>
          <w:rFonts w:hint="eastAsia"/>
          <w:color w:val="000000"/>
          <w:sz w:val="32"/>
          <w:szCs w:val="32"/>
          <w:lang w:val="en-US" w:eastAsia="zh-CN"/>
        </w:rPr>
        <w:t>3.聚焦意识形态建设，把阵地守牢。发动党员、志愿者、楼栋长等巡查队伍52支，针对重点工作、重点人群、重要时段，每季度排查、分析、研判舆情易发“风险点”和内部管理“薄弱点”。今年共上报网络舆情风险点55个、阵地风险隐患17个，成功处置上级交办网络舆情25起。把学习宣传贯彻党的二十大精神当成当前首要政治任务来抓，组建“五老红”宣讲队、专家宣讲队、党代表宣讲队、志愿宣讲队等宣讲队伍，邀请联点领导、理论大咖、优秀党员等广泛开展宣讲进小区、进机关、进学校、进企业、进门店、进家庭活动20余场。落实玉环书记赴凯乐微谷宣讲二十大精神及走访调研信创企业交办问题的整改。邀请中共二十大代表、国防科大教授安玮，区委常委、政法委书记张春雄等领导干部宣讲党的二十大精神；邀请“中国好人”邓学东走进群众家里走新走心开展二十大学习云直播，街道工委同步推出“每日一题”线上学习专栏，号召辖区党员干部学习党的二十大精神，迅速在全街掀起学习宣传热潮。推介宣传在疫情防控、优化营商环境、民生实事等中心工作中的先进典型，在省、市、区主流媒体上稿210余篇。</w:t>
      </w:r>
    </w:p>
    <w:p>
      <w:pPr>
        <w:spacing w:line="600" w:lineRule="exact"/>
        <w:ind w:firstLine="640" w:firstLineChars="200"/>
        <w:rPr>
          <w:rFonts w:hint="eastAsia"/>
          <w:color w:val="000000"/>
          <w:sz w:val="32"/>
          <w:szCs w:val="32"/>
          <w:lang w:val="en-US" w:eastAsia="zh-CN"/>
        </w:rPr>
      </w:pPr>
      <w:r>
        <w:rPr>
          <w:rFonts w:hint="eastAsia"/>
          <w:color w:val="000000"/>
          <w:sz w:val="32"/>
          <w:szCs w:val="32"/>
          <w:lang w:val="en-US" w:eastAsia="zh-CN"/>
        </w:rPr>
        <w:t>4、聚焦管党治党责任，把风纪抓好。压紧压实管党治党政治责任，严格履行全面从严治党主体责任和监督责任，班子成员认真履行“一岗双责”，形成齐抓共管的良好格局。强化政治监督，确保政令畅通、令行禁止，以强有力监督确保疫情防控、安全生产等各项工作顺利推进。积极开展形式多样的廉政文化主题宣传教育活动，1-11月在“湖南经视”、三湘风纪网、“新闻频道”等媒体推介我街党风廉政建设经验做法4次，在省市区各级媒体平台上稿46篇，让清廉新风融入党员干部工作日常、生活点滴、行动细节，吹入寻常百姓家。开展“违反中央八项规定精神突出问题”、“洞庭清波”“一卡通”“五位”等专项整治及“强省会”战略、疫情防控、居民自建房安全整治“百日攻坚”专项行动、文明创建等中心工作的专项监督检查，共下发疫情防控督查通报31期。畅通信访渠道，认真负责处理每一件信访投诉。共受理办结举报投诉问题线索10件。严肃执纪问责，加大对全街广大党员干部职工违纪违法等案件查处力度。1-11月，共立案3件，结案3件；给予党纪政务处分3人次，诫勉谈话1人，通报批评1人，提醒谈话2人，谈话函询3人。</w:t>
      </w:r>
    </w:p>
    <w:p>
      <w:pPr>
        <w:spacing w:line="600" w:lineRule="exact"/>
        <w:ind w:firstLine="640" w:firstLineChars="200"/>
        <w:rPr>
          <w:rFonts w:hint="eastAsia"/>
          <w:color w:val="000000"/>
          <w:sz w:val="32"/>
          <w:szCs w:val="32"/>
          <w:lang w:val="en-US" w:eastAsia="zh-CN"/>
        </w:rPr>
      </w:pPr>
      <w:r>
        <w:rPr>
          <w:rFonts w:hint="eastAsia"/>
          <w:color w:val="000000"/>
          <w:sz w:val="32"/>
          <w:szCs w:val="32"/>
          <w:lang w:val="en-US" w:eastAsia="zh-CN"/>
        </w:rPr>
        <w:t>（二）经济建设蹄疾步稳</w:t>
      </w:r>
    </w:p>
    <w:p>
      <w:pPr>
        <w:spacing w:line="600" w:lineRule="exact"/>
        <w:ind w:firstLine="640" w:firstLineChars="200"/>
        <w:rPr>
          <w:rFonts w:hint="eastAsia"/>
          <w:color w:val="000000"/>
          <w:sz w:val="32"/>
          <w:szCs w:val="32"/>
          <w:lang w:val="en-US" w:eastAsia="zh-CN"/>
        </w:rPr>
      </w:pPr>
      <w:r>
        <w:rPr>
          <w:rFonts w:hint="eastAsia"/>
          <w:color w:val="000000"/>
          <w:sz w:val="32"/>
          <w:szCs w:val="32"/>
          <w:lang w:val="en-US" w:eastAsia="zh-CN"/>
        </w:rPr>
        <w:t>1.经济指标稳中有升。预计全年GDP增长8%，完成财税收入2.9亿元；完成规模工业增加值1.4亿元；完成限上社零2亿元；完成固投14.0亿元，其中项目入库26个；预计全年完成营利性服务业营收9000万；全年完成高新产值增加值10.3亿。截至10月31日，认定高新技术企业9家，年纳税千万以上企业13家、亿元以上企业2家，净增市场主体1777家，完成125.41%，排名全区第二，其中净增企业688家（新增限上商贸企业3家，新增“四上”企业4家），净增个体1089家。</w:t>
      </w:r>
    </w:p>
    <w:p>
      <w:pPr>
        <w:spacing w:line="600" w:lineRule="exact"/>
        <w:ind w:firstLine="640" w:firstLineChars="200"/>
        <w:rPr>
          <w:rFonts w:hint="eastAsia"/>
          <w:color w:val="000000"/>
          <w:sz w:val="32"/>
          <w:szCs w:val="32"/>
          <w:lang w:val="en-US" w:eastAsia="zh-CN"/>
        </w:rPr>
      </w:pPr>
      <w:r>
        <w:rPr>
          <w:rFonts w:hint="eastAsia"/>
          <w:color w:val="000000"/>
          <w:sz w:val="32"/>
          <w:szCs w:val="32"/>
          <w:lang w:val="en-US" w:eastAsia="zh-CN"/>
        </w:rPr>
        <w:t>2.项目建设有序推进。珠江四方印项目预计全年完成投资1.8亿元，华创威斯汀酒店预计全年完成投资2亿元。</w:t>
      </w:r>
    </w:p>
    <w:p>
      <w:pPr>
        <w:spacing w:line="600" w:lineRule="exact"/>
        <w:ind w:firstLine="640" w:firstLineChars="200"/>
        <w:rPr>
          <w:rFonts w:hint="eastAsia"/>
          <w:color w:val="000000"/>
          <w:sz w:val="32"/>
          <w:szCs w:val="32"/>
          <w:lang w:val="en-US" w:eastAsia="zh-CN"/>
        </w:rPr>
      </w:pPr>
      <w:r>
        <w:rPr>
          <w:rFonts w:hint="eastAsia"/>
          <w:color w:val="000000"/>
          <w:sz w:val="32"/>
          <w:szCs w:val="32"/>
          <w:lang w:val="en-US" w:eastAsia="zh-CN"/>
        </w:rPr>
        <w:t>3.营商环境持续优化。协助26家企业完成高新技术奖励、税收贡献奖励、租金补贴等多项资金补助，共计732万元；帮助19家小微企业申请工会经费全额返还45.62万元；6名企业人员被评为我区2022年度创新型高层次人才；指导26家企业申报56个初中级存量人才、51个初中级新引进人才；帮助6家企业申请“开福区纾困暖企十七条”政策奖励，共计23万元。</w:t>
      </w:r>
    </w:p>
    <w:p>
      <w:pPr>
        <w:spacing w:line="600" w:lineRule="exact"/>
        <w:ind w:firstLine="640" w:firstLineChars="200"/>
        <w:rPr>
          <w:rFonts w:hint="eastAsia"/>
          <w:color w:val="000000"/>
          <w:sz w:val="32"/>
          <w:szCs w:val="32"/>
          <w:lang w:val="en-US" w:eastAsia="zh-CN"/>
        </w:rPr>
      </w:pPr>
      <w:r>
        <w:rPr>
          <w:rFonts w:hint="eastAsia"/>
          <w:color w:val="000000"/>
          <w:sz w:val="32"/>
          <w:szCs w:val="32"/>
          <w:lang w:val="en-US" w:eastAsia="zh-CN"/>
        </w:rPr>
        <w:t>（三）城市更加美丽宜居</w:t>
      </w:r>
    </w:p>
    <w:p>
      <w:pPr>
        <w:spacing w:line="600" w:lineRule="exact"/>
        <w:ind w:firstLine="640" w:firstLineChars="200"/>
        <w:rPr>
          <w:rFonts w:hint="eastAsia"/>
          <w:color w:val="000000"/>
          <w:sz w:val="32"/>
          <w:szCs w:val="32"/>
          <w:lang w:val="en-US" w:eastAsia="zh-CN"/>
        </w:rPr>
      </w:pPr>
      <w:r>
        <w:rPr>
          <w:rFonts w:hint="eastAsia"/>
          <w:color w:val="000000"/>
          <w:sz w:val="32"/>
          <w:szCs w:val="32"/>
          <w:lang w:val="en-US" w:eastAsia="zh-CN"/>
        </w:rPr>
        <w:t>1.强力推进自建房整治。开展专项整治行动45次，出动人员 650 人次，全街共摸排自建房265栋，存在安全隐患89栋，其中一般隐患14栋、较大隐患65栋、重大安全隐患10栋（含9栋D级危房）。按照“四性”分类进行“改、停、封、拆”，立足实际，闭环管理，共维修加固10栋，停止使用7栋，整治拆除“格子房”隔墙19栋，拆除违法建筑35栋共计3037.77平方米，拆除存在重大安全隐患的自建房4栋，260余平方米，封闭关停6处存在重大安全隐患和较大安全隐患的房屋。3栋居民自建D级危房已开始重建。开展自建房安全专项整治管理平台数据再核对、居民自建房安全隐患和问题整治“回头看”工作。</w:t>
      </w:r>
    </w:p>
    <w:p>
      <w:pPr>
        <w:spacing w:line="600" w:lineRule="exact"/>
        <w:ind w:firstLine="640" w:firstLineChars="200"/>
        <w:rPr>
          <w:rFonts w:hint="eastAsia"/>
          <w:color w:val="000000"/>
          <w:sz w:val="32"/>
          <w:szCs w:val="32"/>
          <w:lang w:val="en-US" w:eastAsia="zh-CN"/>
        </w:rPr>
      </w:pPr>
      <w:r>
        <w:rPr>
          <w:rFonts w:hint="eastAsia"/>
          <w:color w:val="000000"/>
          <w:sz w:val="32"/>
          <w:szCs w:val="32"/>
          <w:lang w:val="en-US" w:eastAsia="zh-CN"/>
        </w:rPr>
        <w:t>2.全面提升城区品质。我街道纳入“百街千巷”环境综合整治提升项目的7条街巷全部完成整治提升工作。全面落实全路段精细化洗扫，开展立面整治，规范沿街门前责任三包和空中管线整治，开展市容秩序专项执法整治行动210余次，拆除违规招牌35处，处置违停车辆376辆，劝导店外经营、占道经营等行为3000多起。完成区蓝天办督查交办问题39起、市级督查交办问题2起。筹集资金300余万元完成听香水榭小区精美小区提质改造工程，完成水木轩小区篮球场扩建，启动实施水木轩、万煦园、伍家岭生活广场提质改造。</w:t>
      </w:r>
    </w:p>
    <w:p>
      <w:pPr>
        <w:spacing w:line="600" w:lineRule="exact"/>
        <w:ind w:firstLine="640" w:firstLineChars="200"/>
        <w:rPr>
          <w:rFonts w:hint="eastAsia"/>
          <w:color w:val="000000"/>
          <w:sz w:val="32"/>
          <w:szCs w:val="32"/>
          <w:lang w:val="en-US" w:eastAsia="zh-CN"/>
        </w:rPr>
      </w:pPr>
      <w:r>
        <w:rPr>
          <w:rFonts w:hint="eastAsia"/>
          <w:color w:val="000000"/>
          <w:sz w:val="32"/>
          <w:szCs w:val="32"/>
          <w:lang w:val="en-US" w:eastAsia="zh-CN"/>
        </w:rPr>
        <w:t>3.全力提高市民文化素养。实施文化惠民工程，依托社区文明实践站开展“我们的节日”系列活动，如“致敬最美志愿者 携手奋力强省会”学雷锋志愿服务活动、“喜迎二十大 奋进新征程”中秋主题活动等，以文化人滋养群众道德情操和人文素养，夯实城市文明基础。今年以来,我街在省、市文明创建测评中均圆满完成测评工作，做到了未扣分得满分，在全区小区专项整治行动评比中获评先进街道（全区仅三个）。</w:t>
      </w:r>
    </w:p>
    <w:p>
      <w:pPr>
        <w:spacing w:line="600" w:lineRule="exact"/>
        <w:ind w:firstLine="640" w:firstLineChars="200"/>
        <w:rPr>
          <w:rFonts w:hint="eastAsia"/>
          <w:color w:val="000000"/>
          <w:sz w:val="32"/>
          <w:szCs w:val="32"/>
          <w:lang w:val="en-US" w:eastAsia="zh-CN"/>
        </w:rPr>
      </w:pPr>
      <w:r>
        <w:rPr>
          <w:rFonts w:hint="eastAsia"/>
          <w:color w:val="000000"/>
          <w:sz w:val="32"/>
          <w:szCs w:val="32"/>
          <w:lang w:val="en-US" w:eastAsia="zh-CN"/>
        </w:rPr>
        <w:t>（四）社会大局稳定有序</w:t>
      </w:r>
    </w:p>
    <w:p>
      <w:pPr>
        <w:spacing w:line="600" w:lineRule="exact"/>
        <w:ind w:firstLine="640" w:firstLineChars="200"/>
        <w:rPr>
          <w:rFonts w:hint="eastAsia"/>
          <w:color w:val="000000"/>
          <w:sz w:val="32"/>
          <w:szCs w:val="32"/>
          <w:lang w:val="en-US" w:eastAsia="zh-CN"/>
        </w:rPr>
      </w:pPr>
      <w:r>
        <w:rPr>
          <w:rFonts w:hint="eastAsia"/>
          <w:color w:val="000000"/>
          <w:sz w:val="32"/>
          <w:szCs w:val="32"/>
          <w:lang w:val="en-US" w:eastAsia="zh-CN"/>
        </w:rPr>
        <w:t>1.筑牢常态化疫情防线。启动常态化便民核酸检测以来，分别在华创国际广场、科大佳园南苑、陡岭社区宜家湘颂设置固定采样亭，全天候免费采样，保证居民愿检尽检。重点人群、重点场所常态化新冠病毒核酸检测工作落实到位，今年共计完成采样2.04万人次。截止11月20日，60岁及以上人群首针接种11609人，接种覆盖率为91.24%；全程接种人数10998人，接种覆盖率为86.44%。18岁以上人群加强免疫针已接种26211人，加强针接种比例78.41%。采取有力措施应对国庆后本地疫情，成立华创疫情防控专班，制定《伍家岭街道应对新冠病毒肺炎本地疫情华创临时作战指挥部工作方案》，设立7个工作组，每天进行工作部署并复盘，尤其是对重点区域强化管控，及时封控林之源酒店，对34名住宿旅客实行24小时后勤保障，对华创提级管控，封停160家店铺，强化对重点人员管控，共转运250余人，确保疫情无扩散。全力以赴配合区防疫指挥部做好汇聚隔离酒店疫情防控工作，汇聚隔离酒店今年累计隔离人员3000多人，确保了辖区疫情防控大局的稳定。</w:t>
      </w:r>
    </w:p>
    <w:p>
      <w:pPr>
        <w:spacing w:line="600" w:lineRule="exact"/>
        <w:ind w:firstLine="640" w:firstLineChars="200"/>
        <w:rPr>
          <w:rFonts w:hint="eastAsia"/>
          <w:color w:val="000000"/>
          <w:sz w:val="32"/>
          <w:szCs w:val="32"/>
          <w:lang w:val="en-US" w:eastAsia="zh-CN"/>
        </w:rPr>
      </w:pPr>
      <w:r>
        <w:rPr>
          <w:rFonts w:hint="eastAsia"/>
          <w:color w:val="000000"/>
          <w:sz w:val="32"/>
          <w:szCs w:val="32"/>
          <w:lang w:val="en-US" w:eastAsia="zh-CN"/>
        </w:rPr>
        <w:t>2.严守安全生产红线。扎实推进安全生产“百日攻坚”。建立专项台账，清单化加项目化管理，实现隐患动态清零，共排查企业215家、安全隐患407处，下发行政处罚24份、责令限期整改26份。对98户“四类”重点人群定期开展“敲门行动”，面对面教育提醒。通过公开信、小喇叭、微信群等方式进行高频宣传，发放宣传资料2万余份。代表区里圆满完成市对区安全生产和消防工作半年度和年度绩效考核。全面排查辖区燃气站点、餐饮、五小等场所，发现燃气安全隐患43处，使用非燃气燃料的门店40家，其中使用醇基燃料17家，要求整改17家，整改率100%。责令使用丙烷的门店停用，并移送应急部门；督促2家混用液化气及环保油的门店进行整改。处罚或关停不合规燃气站5家。成功处置燃气泄漏7起，查获非法销售瓶装燃气黑窝点3处。聚焦高层建筑消防安全，全街高层建筑共135栋，其中四类重点24栋，检查发现消防安全隐患135处。召集辖区25家物业公司和业委会进行培训部署，签订安全承诺书，每个小区组建一支10人义务消防小分队，街道聘请第三方专业机构开展消防安全隐患排查，建立动态隐患台账，共排查消防安全隐患145处，已整改105处，正在整改40处。分行业、分楼栋先后开展消防演练119次。</w:t>
      </w:r>
    </w:p>
    <w:p>
      <w:pPr>
        <w:spacing w:line="600" w:lineRule="exact"/>
        <w:ind w:firstLine="640" w:firstLineChars="200"/>
        <w:rPr>
          <w:rFonts w:hint="eastAsia"/>
          <w:color w:val="000000"/>
          <w:sz w:val="32"/>
          <w:szCs w:val="32"/>
          <w:lang w:val="en-US" w:eastAsia="zh-CN"/>
        </w:rPr>
      </w:pPr>
      <w:r>
        <w:rPr>
          <w:rFonts w:hint="eastAsia"/>
          <w:color w:val="000000"/>
          <w:sz w:val="32"/>
          <w:szCs w:val="32"/>
          <w:lang w:val="en-US" w:eastAsia="zh-CN"/>
        </w:rPr>
        <w:t>3.从严防范化解重大风险。注重矛盾纠纷的源头排查和化解，未发生进京越级访和大规模群访事件。成功化解蔡兵珠户（属5年以上信访件），区联席办交办的7户征拆类信访遗留问题已化解丑秋林、周泽峰、潘定国3户。正在约谈蒋礼萍户，力争近期化解。积极配合市国资委做好杨庆兰、杨元兰户的约谈和稳控，目前该户已降低诉求。对区联席办交办的重点人员和重点风险群体都实行了“五包一”，分类施策实施稳控。积极开展反电诈宣传，1-10月份电诈受案106起，比去年同期下降27.4%，切实守护好人民群众“钱袋子”。截至目前，今年共受案112起。</w:t>
      </w:r>
    </w:p>
    <w:p>
      <w:pPr>
        <w:spacing w:line="600" w:lineRule="exact"/>
        <w:ind w:firstLine="640" w:firstLineChars="200"/>
        <w:rPr>
          <w:rFonts w:hint="eastAsia"/>
          <w:color w:val="000000"/>
          <w:sz w:val="32"/>
          <w:szCs w:val="32"/>
          <w:lang w:val="en-US" w:eastAsia="zh-CN"/>
        </w:rPr>
      </w:pPr>
      <w:r>
        <w:rPr>
          <w:rFonts w:hint="eastAsia"/>
          <w:color w:val="000000"/>
          <w:sz w:val="32"/>
          <w:szCs w:val="32"/>
          <w:lang w:val="en-US" w:eastAsia="zh-CN"/>
        </w:rPr>
        <w:t>（五）民生福祉持续改善</w:t>
      </w:r>
    </w:p>
    <w:p>
      <w:pPr>
        <w:spacing w:line="600" w:lineRule="exact"/>
        <w:ind w:firstLine="640" w:firstLineChars="200"/>
        <w:rPr>
          <w:rFonts w:hint="eastAsia"/>
          <w:color w:val="000000"/>
          <w:sz w:val="32"/>
          <w:szCs w:val="32"/>
          <w:lang w:val="en-US" w:eastAsia="zh-CN"/>
        </w:rPr>
      </w:pPr>
      <w:r>
        <w:rPr>
          <w:rFonts w:hint="eastAsia"/>
          <w:color w:val="000000"/>
          <w:sz w:val="32"/>
          <w:szCs w:val="32"/>
          <w:lang w:val="en-US" w:eastAsia="zh-CN"/>
        </w:rPr>
        <w:t>1.持续完善公共服务体系。12345便民服务热线累计受理工单4277件，满意率97.48%，问题解决率86.69%，年度及时联系率100%。全面推行“岭哥岭姐帮代办”便民服务，建立了12个就近为群众提供服务的网格综合服务点，共代理各项服务事项287件，群众满意率100%，真正实现了“小网格、全服务、大民生”。全力支持大众创新创业，年度城镇新增就业908人，完成率103%。组织创业培训35人，全面完成培训任务。对离校未就业高校毕业生开展“311”就业服务，11月跟踪回访率和就业服务率均达到100%，就业率99.21%。欠薪线索核查处理率100%。将便民服务中心主动靠前，创新打造便民服务“移动窗口”新模式，以社区“网格综合服务点”为依托，将11项政务服务事项前移至网格综合服务点。</w:t>
      </w:r>
    </w:p>
    <w:p>
      <w:pPr>
        <w:spacing w:line="600" w:lineRule="exact"/>
        <w:ind w:firstLine="640" w:firstLineChars="200"/>
        <w:rPr>
          <w:rFonts w:hint="eastAsia"/>
          <w:color w:val="000000"/>
          <w:sz w:val="32"/>
          <w:szCs w:val="32"/>
          <w:lang w:val="en-US" w:eastAsia="zh-CN"/>
        </w:rPr>
      </w:pPr>
      <w:r>
        <w:rPr>
          <w:rFonts w:hint="eastAsia"/>
          <w:color w:val="000000"/>
          <w:sz w:val="32"/>
          <w:szCs w:val="32"/>
          <w:lang w:val="en-US" w:eastAsia="zh-CN"/>
        </w:rPr>
        <w:t>2.稳步提升社会保障能力。1-11月帮扶城市特殊困难群体63户12.74万元；大病救助21人6.58万元；临时救助5人1.28万元。做好低保动态管理，目前全街有低保户数290户403人，1-11月共发放补助262.39万元，持续做好住房保障惠民生工作。</w:t>
      </w:r>
    </w:p>
    <w:p>
      <w:pPr>
        <w:spacing w:line="600" w:lineRule="exact"/>
        <w:ind w:firstLine="640" w:firstLineChars="200"/>
        <w:rPr>
          <w:rFonts w:hint="eastAsia" w:eastAsia="仿宋_GB2312"/>
          <w:color w:val="000000"/>
          <w:sz w:val="32"/>
          <w:szCs w:val="32"/>
          <w:lang w:val="en-US" w:eastAsia="zh-CN"/>
        </w:rPr>
      </w:pPr>
      <w:r>
        <w:rPr>
          <w:rFonts w:hint="eastAsia"/>
          <w:color w:val="000000"/>
          <w:sz w:val="32"/>
          <w:szCs w:val="32"/>
          <w:lang w:val="en-US" w:eastAsia="zh-CN"/>
        </w:rPr>
        <w:t>3.有效推进社会治理创新。坚持党建引领基层治理，推广红色物业治理模式，率先在全市最大开放式小区建湘新村社区成立“红色物管会”，经验在红星网、《长沙晚报》、开福党建等省市区平台广泛推广。围绕服务国防科大军属，联合区街社及驻街企事业单位力量，建立“小区合伙人”制度，围绕加装电梯、增设停车场等全方位优化军人“后院”环境，今年完成备案25台，完成率100%；社校共建“儿童友好服务站”，助推“八一小学”落地，全过程关爱军人“后代”成长；依托开福软件园等平台优势全周期服务解决好退役军人创新创业就业之忧，全力打造拥军“三后”服务品牌。</w:t>
      </w:r>
    </w:p>
    <w:p>
      <w:pPr>
        <w:pStyle w:val="8"/>
        <w:spacing w:line="600" w:lineRule="exact"/>
        <w:ind w:firstLine="640"/>
        <w:rPr>
          <w:rFonts w:ascii="Times New Roman" w:hAnsi="Times New Roman" w:eastAsia="黑体"/>
          <w:sz w:val="32"/>
          <w:szCs w:val="32"/>
          <w:highlight w:val="none"/>
        </w:rPr>
      </w:pPr>
      <w:r>
        <w:rPr>
          <w:rFonts w:hint="eastAsia" w:ascii="Times New Roman" w:hAnsi="Times New Roman" w:eastAsia="黑体"/>
          <w:sz w:val="32"/>
          <w:szCs w:val="32"/>
          <w:highlight w:val="none"/>
          <w:lang w:val="en-US" w:eastAsia="zh-CN"/>
        </w:rPr>
        <w:t>八</w:t>
      </w:r>
      <w:r>
        <w:rPr>
          <w:rFonts w:ascii="Times New Roman" w:hAnsi="Times New Roman" w:eastAsia="黑体"/>
          <w:sz w:val="32"/>
          <w:szCs w:val="32"/>
          <w:highlight w:val="none"/>
        </w:rPr>
        <w:t>、存在的问题及原因分析</w:t>
      </w:r>
    </w:p>
    <w:p>
      <w:pPr>
        <w:spacing w:line="600" w:lineRule="exact"/>
        <w:ind w:firstLine="640" w:firstLineChars="200"/>
        <w:rPr>
          <w:rFonts w:hint="eastAsia" w:ascii="Times New Roman" w:hAnsi="Times New Roman" w:cs="Times New Roman"/>
          <w:color w:val="000000"/>
          <w:sz w:val="32"/>
          <w:szCs w:val="32"/>
          <w:lang w:val="en-US" w:eastAsia="zh-CN"/>
        </w:rPr>
      </w:pPr>
      <w:r>
        <w:rPr>
          <w:rFonts w:hint="eastAsia" w:ascii="Times New Roman" w:hAnsi="Times New Roman" w:cs="Times New Roman"/>
          <w:color w:val="000000"/>
          <w:sz w:val="32"/>
          <w:szCs w:val="32"/>
          <w:lang w:val="en-US" w:eastAsia="zh-CN"/>
        </w:rPr>
        <w:t>部门年初预算数与决算数差异较大。</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jc w:val="both"/>
        <w:textAlignment w:val="auto"/>
        <w:outlineLvl w:val="9"/>
        <w:rPr>
          <w:rFonts w:hint="eastAsia" w:ascii="Times New Roman" w:hAnsi="Times New Roman" w:eastAsia="仿宋_GB2312" w:cs="Times New Roman"/>
          <w:color w:val="auto"/>
          <w:spacing w:val="-2"/>
          <w:sz w:val="32"/>
          <w:szCs w:val="32"/>
          <w:lang w:val="en-US" w:eastAsia="zh-CN"/>
        </w:rPr>
      </w:pPr>
      <w:r>
        <w:rPr>
          <w:rFonts w:hint="eastAsia" w:ascii="Times New Roman" w:hAnsi="Times New Roman" w:cs="Times New Roman"/>
          <w:color w:val="auto"/>
          <w:spacing w:val="-2"/>
          <w:sz w:val="32"/>
          <w:szCs w:val="32"/>
          <w:lang w:val="en-US" w:eastAsia="zh-CN"/>
        </w:rPr>
        <w:t>2022年初预算数为3338.72万元，决算数为5437.72万元，</w:t>
      </w:r>
      <w:r>
        <w:rPr>
          <w:rFonts w:hint="eastAsia" w:ascii="Times New Roman" w:hAnsi="Times New Roman" w:eastAsia="仿宋_GB2312" w:cs="Times New Roman"/>
          <w:color w:val="auto"/>
          <w:spacing w:val="-2"/>
          <w:sz w:val="32"/>
          <w:szCs w:val="32"/>
          <w:lang w:val="en-US" w:eastAsia="zh-CN"/>
        </w:rPr>
        <w:t>年初预算</w:t>
      </w:r>
      <w:r>
        <w:rPr>
          <w:rFonts w:hint="eastAsia" w:ascii="Times New Roman" w:hAnsi="Times New Roman" w:cs="Times New Roman"/>
          <w:color w:val="auto"/>
          <w:spacing w:val="-2"/>
          <w:sz w:val="32"/>
          <w:szCs w:val="32"/>
          <w:lang w:val="en-US" w:eastAsia="zh-CN"/>
        </w:rPr>
        <w:t>数</w:t>
      </w:r>
      <w:r>
        <w:rPr>
          <w:rFonts w:hint="eastAsia" w:ascii="Times New Roman" w:hAnsi="Times New Roman" w:eastAsia="仿宋_GB2312" w:cs="Times New Roman"/>
          <w:color w:val="auto"/>
          <w:spacing w:val="-2"/>
          <w:sz w:val="32"/>
          <w:szCs w:val="32"/>
          <w:lang w:val="en-US" w:eastAsia="zh-CN"/>
        </w:rPr>
        <w:t>与年终决算数相差</w:t>
      </w:r>
      <w:r>
        <w:rPr>
          <w:rFonts w:hint="eastAsia" w:ascii="Times New Roman" w:hAnsi="Times New Roman" w:cs="Times New Roman"/>
          <w:color w:val="auto"/>
          <w:spacing w:val="-2"/>
          <w:sz w:val="32"/>
          <w:szCs w:val="32"/>
          <w:lang w:val="en-US" w:eastAsia="zh-CN"/>
        </w:rPr>
        <w:t>2099</w:t>
      </w:r>
      <w:r>
        <w:rPr>
          <w:rFonts w:hint="eastAsia" w:ascii="Times New Roman" w:hAnsi="Times New Roman" w:eastAsia="仿宋_GB2312" w:cs="Times New Roman"/>
          <w:color w:val="auto"/>
          <w:spacing w:val="-2"/>
          <w:sz w:val="32"/>
          <w:szCs w:val="32"/>
          <w:lang w:val="en-US" w:eastAsia="zh-CN"/>
        </w:rPr>
        <w:t>万元</w:t>
      </w:r>
      <w:r>
        <w:rPr>
          <w:rFonts w:hint="eastAsia" w:ascii="Times New Roman" w:hAnsi="Times New Roman" w:cs="Times New Roman"/>
          <w:color w:val="auto"/>
          <w:spacing w:val="-2"/>
          <w:sz w:val="32"/>
          <w:szCs w:val="32"/>
          <w:lang w:val="en-US" w:eastAsia="zh-CN"/>
        </w:rPr>
        <w:t>。产生差异的</w:t>
      </w:r>
      <w:r>
        <w:rPr>
          <w:rFonts w:hint="eastAsia" w:ascii="Times New Roman" w:hAnsi="Times New Roman" w:eastAsia="仿宋_GB2312" w:cs="Times New Roman"/>
          <w:color w:val="auto"/>
          <w:spacing w:val="-2"/>
          <w:sz w:val="32"/>
          <w:szCs w:val="32"/>
          <w:lang w:val="en-US" w:eastAsia="zh-CN"/>
        </w:rPr>
        <w:t>主要</w:t>
      </w:r>
      <w:r>
        <w:rPr>
          <w:rFonts w:hint="eastAsia" w:ascii="Times New Roman" w:hAnsi="Times New Roman" w:cs="Times New Roman"/>
          <w:color w:val="auto"/>
          <w:spacing w:val="-2"/>
          <w:sz w:val="32"/>
          <w:szCs w:val="32"/>
          <w:lang w:val="en-US" w:eastAsia="zh-CN"/>
        </w:rPr>
        <w:t>原因是</w:t>
      </w:r>
      <w:r>
        <w:rPr>
          <w:rFonts w:hint="eastAsia" w:ascii="Times New Roman" w:hAnsi="Times New Roman" w:eastAsia="仿宋_GB2312" w:cs="Times New Roman"/>
          <w:color w:val="auto"/>
          <w:spacing w:val="-2"/>
          <w:sz w:val="32"/>
          <w:szCs w:val="32"/>
          <w:lang w:val="en-US" w:eastAsia="zh-CN"/>
        </w:rPr>
        <w:t>年初预算是</w:t>
      </w:r>
      <w:r>
        <w:rPr>
          <w:rFonts w:hint="eastAsia" w:ascii="Times New Roman" w:hAnsi="Times New Roman" w:cs="Times New Roman"/>
          <w:color w:val="auto"/>
          <w:spacing w:val="-2"/>
          <w:sz w:val="32"/>
          <w:szCs w:val="32"/>
          <w:lang w:val="en-US" w:eastAsia="zh-CN"/>
        </w:rPr>
        <w:t>仅</w:t>
      </w:r>
      <w:r>
        <w:rPr>
          <w:rFonts w:hint="eastAsia" w:ascii="Times New Roman" w:hAnsi="Times New Roman" w:eastAsia="仿宋_GB2312" w:cs="Times New Roman"/>
          <w:color w:val="auto"/>
          <w:spacing w:val="-2"/>
          <w:sz w:val="32"/>
          <w:szCs w:val="32"/>
          <w:lang w:val="en-US" w:eastAsia="zh-CN"/>
        </w:rPr>
        <w:t>根据街道体制</w:t>
      </w:r>
      <w:r>
        <w:rPr>
          <w:rFonts w:hint="eastAsia" w:ascii="Times New Roman" w:hAnsi="Times New Roman" w:cs="Times New Roman"/>
          <w:color w:val="auto"/>
          <w:spacing w:val="-2"/>
          <w:sz w:val="32"/>
          <w:szCs w:val="32"/>
          <w:lang w:val="en-US" w:eastAsia="zh-CN"/>
        </w:rPr>
        <w:t>财力</w:t>
      </w:r>
      <w:r>
        <w:rPr>
          <w:rFonts w:hint="eastAsia" w:ascii="Times New Roman" w:hAnsi="Times New Roman" w:eastAsia="仿宋_GB2312" w:cs="Times New Roman"/>
          <w:color w:val="auto"/>
          <w:spacing w:val="-2"/>
          <w:sz w:val="32"/>
          <w:szCs w:val="32"/>
          <w:lang w:val="en-US" w:eastAsia="zh-CN"/>
        </w:rPr>
        <w:t>来编制，重点保障人员经费及基本运转，而决算是当年实际支出，包含预算追加及</w:t>
      </w:r>
      <w:r>
        <w:rPr>
          <w:rFonts w:hint="eastAsia" w:ascii="Times New Roman" w:hAnsi="Times New Roman" w:cs="Times New Roman"/>
          <w:color w:val="auto"/>
          <w:spacing w:val="-2"/>
          <w:sz w:val="32"/>
          <w:szCs w:val="32"/>
          <w:lang w:val="en-US" w:eastAsia="zh-CN"/>
        </w:rPr>
        <w:t>上级各</w:t>
      </w:r>
      <w:r>
        <w:rPr>
          <w:rFonts w:hint="eastAsia" w:ascii="Times New Roman" w:hAnsi="Times New Roman" w:eastAsia="仿宋_GB2312" w:cs="Times New Roman"/>
          <w:color w:val="auto"/>
          <w:spacing w:val="-2"/>
          <w:sz w:val="32"/>
          <w:szCs w:val="32"/>
          <w:lang w:val="en-US" w:eastAsia="zh-CN"/>
        </w:rPr>
        <w:t xml:space="preserve">部门的专项拨款支出，因此与年初预算数有较大差异。 </w:t>
      </w:r>
    </w:p>
    <w:p>
      <w:pPr>
        <w:numPr>
          <w:ilvl w:val="0"/>
          <w:numId w:val="0"/>
        </w:numPr>
        <w:spacing w:line="600" w:lineRule="exact"/>
        <w:ind w:firstLine="640" w:firstLineChars="200"/>
        <w:rPr>
          <w:rFonts w:eastAsia="黑体"/>
          <w:sz w:val="32"/>
          <w:szCs w:val="32"/>
        </w:rPr>
      </w:pPr>
      <w:r>
        <w:rPr>
          <w:rFonts w:hint="eastAsia" w:eastAsia="黑体"/>
          <w:sz w:val="32"/>
          <w:szCs w:val="32"/>
          <w:lang w:val="en-US" w:eastAsia="zh-CN"/>
        </w:rPr>
        <w:t>九、</w:t>
      </w:r>
      <w:r>
        <w:rPr>
          <w:rFonts w:eastAsia="黑体"/>
          <w:sz w:val="32"/>
          <w:szCs w:val="32"/>
        </w:rPr>
        <w:t>下一步改进措施</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hint="eastAsia" w:ascii="Times New Roman" w:hAnsi="Times New Roman" w:cs="Times New Roman"/>
          <w:color w:val="000000" w:themeColor="text1"/>
          <w:kern w:val="2"/>
          <w:sz w:val="32"/>
          <w:szCs w:val="32"/>
          <w:lang w:val="en-US" w:eastAsia="zh-CN" w:bidi="ar-SA"/>
          <w14:textFill>
            <w14:solidFill>
              <w14:schemeClr w14:val="tx1"/>
            </w14:solidFill>
          </w14:textFill>
        </w:rPr>
        <w:t>1.</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加强预算编制管理，夯实预算执行基础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首先，需要保证预算编制的真实性，即部门预算收支的测算要以履行部门职能需要为依据，通过会议讨论分析制定具有可实施性的预算方案；其次是注重预算编制的科学、完整性，量入为出、收支平衡、不偏不漏，综合预算。</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hint="eastAsia" w:ascii="Times New Roman" w:hAnsi="Times New Roman" w:cs="Times New Roman"/>
          <w:color w:val="000000" w:themeColor="text1"/>
          <w:kern w:val="2"/>
          <w:sz w:val="32"/>
          <w:szCs w:val="32"/>
          <w:lang w:val="en-US" w:eastAsia="zh-CN" w:bidi="ar-SA"/>
          <w14:textFill>
            <w14:solidFill>
              <w14:schemeClr w14:val="tx1"/>
            </w14:solidFill>
          </w14:textFill>
        </w:rPr>
        <w:t>2.</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做好预算执行分析工作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牢牢把握预算执行分析工作的真实性、及时性和全面性，及时跟踪预算执行动态变化过程，重点研究预算执行过程中出现的各种问题，强化预算执行全过程的管理，提供详实准确的预算执行数据，并准确预测预算收支的发展趋势，进一步提高财政预算的管理和决策水平。</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hint="eastAsia" w:ascii="Times New Roman" w:hAnsi="Times New Roman" w:cs="Times New Roman"/>
          <w:color w:val="000000" w:themeColor="text1"/>
          <w:kern w:val="2"/>
          <w:sz w:val="32"/>
          <w:szCs w:val="32"/>
          <w:lang w:val="en-US" w:eastAsia="zh-CN" w:bidi="ar-SA"/>
          <w14:textFill>
            <w14:solidFill>
              <w14:schemeClr w14:val="tx1"/>
            </w14:solidFill>
          </w14:textFill>
        </w:rPr>
        <w:t>3.</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加强内部监督控制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pP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内部监督控制机制的建立主要是指加强内部审计监督机构的设置和人员安排。在人员安排上面，一方面要调派熟悉单位自身发展和运作特点以及经费使用状况的财务管理人员担任内部审计监督职务，从而一方面进一步加强内部审计工作与单位自身发展的契合性，另一方面跟踪监督每一步的经费预算执行情况，及时反馈执行信息，及时调整预算执行内容，最大限度提升预算执行的实际效果。</w:t>
      </w:r>
    </w:p>
    <w:p>
      <w:pPr>
        <w:spacing w:line="600" w:lineRule="exact"/>
        <w:ind w:firstLine="640" w:firstLineChars="200"/>
        <w:rPr>
          <w:rFonts w:eastAsia="黑体"/>
          <w:sz w:val="32"/>
          <w:szCs w:val="32"/>
        </w:rPr>
      </w:pPr>
      <w:r>
        <w:rPr>
          <w:rFonts w:hint="eastAsia" w:eastAsia="黑体"/>
          <w:sz w:val="32"/>
          <w:szCs w:val="32"/>
          <w:lang w:val="en-US" w:eastAsia="zh-CN"/>
        </w:rPr>
        <w:t>十、</w:t>
      </w:r>
      <w:r>
        <w:rPr>
          <w:rFonts w:eastAsia="黑体"/>
          <w:sz w:val="32"/>
          <w:szCs w:val="32"/>
        </w:rPr>
        <w:t>绩效自评结果拟应用和公开情况</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pPr>
      <w:r>
        <w:rPr>
          <w:rFonts w:hint="eastAsia" w:eastAsia="仿宋_GB2312" w:cs="Times New Roman"/>
          <w:color w:val="000000" w:themeColor="text1"/>
          <w:kern w:val="2"/>
          <w:sz w:val="32"/>
          <w:szCs w:val="32"/>
          <w:lang w:val="en-US" w:eastAsia="zh-CN" w:bidi="ar-SA"/>
          <w14:textFill>
            <w14:solidFill>
              <w14:schemeClr w14:val="tx1"/>
            </w14:solidFill>
          </w14:textFill>
        </w:rPr>
        <w:t>2022</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年，我单位从预算绩效目标管理、专项资金管理、预算执行进度、绩效评价和资金分配和使用等方面，认真组织了自评。结果显示我单位预算绩效目标管理合理，专项资金管理规范，预算执行进度依规执行，资金分配和使用按预算执行，没有发现违规行为</w:t>
      </w:r>
      <w:r>
        <w:rPr>
          <w:rFonts w:hint="eastAsia" w:ascii="Times New Roman" w:hAnsi="Times New Roman" w:cs="Times New Roman"/>
          <w:color w:val="000000" w:themeColor="text1"/>
          <w:kern w:val="2"/>
          <w:sz w:val="32"/>
          <w:szCs w:val="32"/>
          <w:lang w:val="en-US" w:eastAsia="zh-CN" w:bidi="ar-SA"/>
          <w14:textFill>
            <w14:solidFill>
              <w14:schemeClr w14:val="tx1"/>
            </w14:solidFill>
          </w14:textFill>
        </w:rPr>
        <w:t>。</w:t>
      </w:r>
      <w:r>
        <w:rPr>
          <w:rFonts w:hint="eastAsia" w:ascii="Times New Roman" w:hAnsi="Times New Roman" w:eastAsia="仿宋_GB2312" w:cs="Times New Roman"/>
          <w:color w:val="auto"/>
          <w:spacing w:val="-2"/>
          <w:sz w:val="32"/>
          <w:szCs w:val="32"/>
          <w:lang w:val="en-US" w:eastAsia="zh-CN"/>
        </w:rPr>
        <w:t>将根据财政相关要求进行公开，并运用到单位整体运行管理中，对不足之处加以改进完善，提高单位整体支出绩效水平。</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090F83"/>
    <w:multiLevelType w:val="singleLevel"/>
    <w:tmpl w:val="95090F83"/>
    <w:lvl w:ilvl="0" w:tentative="0">
      <w:start w:val="2"/>
      <w:numFmt w:val="chineseCounting"/>
      <w:suff w:val="nothing"/>
      <w:lvlText w:val="（%1）"/>
      <w:lvlJc w:val="left"/>
      <w:rPr>
        <w:rFonts w:hint="eastAsia"/>
      </w:rPr>
    </w:lvl>
  </w:abstractNum>
  <w:abstractNum w:abstractNumId="1">
    <w:nsid w:val="C6DECA0F"/>
    <w:multiLevelType w:val="singleLevel"/>
    <w:tmpl w:val="C6DECA0F"/>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A0NjQ2NDcxMDQyNDE1ZTljM2U3ZjkxMDU3YmVjYzYifQ=="/>
  </w:docVars>
  <w:rsids>
    <w:rsidRoot w:val="6A082A4A"/>
    <w:rsid w:val="069C4406"/>
    <w:rsid w:val="1F6E07A1"/>
    <w:rsid w:val="6A082A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28"/>
      <w:szCs w:val="28"/>
      <w:lang w:val="en-US" w:eastAsia="zh-CN" w:bidi="ar-SA"/>
    </w:rPr>
  </w:style>
  <w:style w:type="paragraph" w:styleId="4">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2"/>
    <w:qFormat/>
    <w:uiPriority w:val="99"/>
    <w:pPr>
      <w:spacing w:after="120"/>
    </w:pPr>
  </w:style>
  <w:style w:type="paragraph" w:customStyle="1" w:styleId="7">
    <w:name w:val="BodyText"/>
    <w:basedOn w:val="1"/>
    <w:next w:val="1"/>
    <w:qFormat/>
    <w:uiPriority w:val="0"/>
    <w:pPr>
      <w:spacing w:after="120"/>
      <w:jc w:val="both"/>
      <w:textAlignment w:val="baseline"/>
    </w:pPr>
  </w:style>
  <w:style w:type="paragraph" w:styleId="8">
    <w:name w:val="List Paragraph"/>
    <w:basedOn w:val="1"/>
    <w:qFormat/>
    <w:uiPriority w:val="99"/>
    <w:pPr>
      <w:ind w:firstLine="420" w:firstLineChars="200"/>
    </w:pPr>
    <w:rPr>
      <w:rFonts w:ascii="Calibri" w:hAnsi="Calibri" w:eastAsia="宋体" w:cs="Times New Roman"/>
      <w:szCs w:val="22"/>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2023-10-12T06:50:00Z</dcterms:created>
  <dc:creator>马柔</dc:creator>
  <cp:lastModifiedBy>马柔</cp:lastModifiedBy>
  <dcterms:modified xsi:type="dcterms:W3CDTF">2023-10-13T02:39:54Z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457E039B8E184B119E1358A224759AB8_11</vt:lpwstr>
  </property>
</Properties>
</file>