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44"/>
          <w:szCs w:val="44"/>
          <w:lang w:eastAsia="zh-CN"/>
        </w:rPr>
      </w:pPr>
    </w:p>
    <w:p>
      <w:pPr>
        <w:spacing w:line="560" w:lineRule="exact"/>
        <w:jc w:val="center"/>
        <w:rPr>
          <w:rFonts w:hint="eastAsia" w:ascii="方正小标宋简体" w:eastAsia="宋体"/>
          <w:color w:val="000000"/>
          <w:sz w:val="44"/>
          <w:szCs w:val="44"/>
          <w:lang w:eastAsia="zh-CN"/>
        </w:rPr>
      </w:pPr>
      <w:r>
        <w:rPr>
          <w:rFonts w:hint="eastAsia" w:ascii="方正小标宋简体" w:eastAsia="宋体"/>
          <w:color w:val="000000"/>
          <w:sz w:val="44"/>
          <w:szCs w:val="44"/>
          <w:lang w:val="en-US" w:eastAsia="zh-CN"/>
        </w:rPr>
        <w:t>2021年度重点</w:t>
      </w:r>
      <w:r>
        <w:rPr>
          <w:rFonts w:hint="eastAsia" w:ascii="方正小标宋简体" w:eastAsia="方正小标宋简体"/>
          <w:color w:val="000000"/>
          <w:sz w:val="44"/>
          <w:szCs w:val="44"/>
        </w:rPr>
        <w:t>项目</w:t>
      </w:r>
      <w:r>
        <w:rPr>
          <w:rFonts w:hint="eastAsia" w:ascii="方正小标宋简体" w:eastAsia="宋体"/>
          <w:color w:val="000000"/>
          <w:sz w:val="44"/>
          <w:szCs w:val="44"/>
          <w:lang w:eastAsia="zh-CN"/>
        </w:rPr>
        <w:t>绩效评价结果</w:t>
      </w:r>
    </w:p>
    <w:p>
      <w:pPr>
        <w:spacing w:line="800" w:lineRule="exact"/>
        <w:jc w:val="center"/>
        <w:rPr>
          <w:rFonts w:hint="eastAsia" w:ascii="仿宋_GB2312"/>
          <w:color w:val="000000"/>
        </w:rPr>
      </w:pPr>
    </w:p>
    <w:p>
      <w:pPr>
        <w:spacing w:line="560" w:lineRule="exact"/>
        <w:ind w:firstLine="640" w:firstLineChars="200"/>
        <w:rPr>
          <w:rFonts w:eastAsia="黑体"/>
          <w:sz w:val="32"/>
          <w:szCs w:val="32"/>
        </w:rPr>
      </w:pPr>
      <w:r>
        <w:rPr>
          <w:rFonts w:eastAsia="黑体"/>
          <w:sz w:val="32"/>
          <w:szCs w:val="32"/>
        </w:rPr>
        <w:t>一、</w:t>
      </w:r>
      <w:r>
        <w:rPr>
          <w:rFonts w:hint="eastAsia" w:eastAsia="黑体"/>
          <w:sz w:val="32"/>
          <w:szCs w:val="32"/>
          <w:lang w:eastAsia="zh-CN"/>
        </w:rPr>
        <w:t>重点</w:t>
      </w:r>
      <w:r>
        <w:rPr>
          <w:rFonts w:hint="eastAsia" w:eastAsia="黑体"/>
          <w:sz w:val="32"/>
          <w:szCs w:val="32"/>
        </w:rPr>
        <w:t>项目支出</w:t>
      </w:r>
      <w:r>
        <w:rPr>
          <w:rFonts w:eastAsia="黑体"/>
          <w:sz w:val="32"/>
          <w:szCs w:val="32"/>
        </w:rPr>
        <w:t>基本情况</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sz w:val="32"/>
          <w:szCs w:val="32"/>
        </w:rPr>
      </w:pPr>
      <w:r>
        <w:rPr>
          <w:rFonts w:hint="eastAsia"/>
          <w:sz w:val="32"/>
          <w:szCs w:val="32"/>
        </w:rPr>
        <w:t>20</w:t>
      </w:r>
      <w:r>
        <w:rPr>
          <w:sz w:val="32"/>
          <w:szCs w:val="32"/>
        </w:rPr>
        <w:t>2</w:t>
      </w:r>
      <w:r>
        <w:rPr>
          <w:rFonts w:hint="eastAsia"/>
          <w:sz w:val="32"/>
          <w:szCs w:val="32"/>
          <w:lang w:val="en-US" w:eastAsia="zh-CN"/>
        </w:rPr>
        <w:t>1</w:t>
      </w:r>
      <w:r>
        <w:rPr>
          <w:rFonts w:hint="eastAsia"/>
          <w:sz w:val="32"/>
          <w:szCs w:val="32"/>
          <w:lang w:eastAsia="zh-CN"/>
        </w:rPr>
        <w:t>年本单位重点项目</w:t>
      </w:r>
      <w:r>
        <w:rPr>
          <w:rFonts w:hint="eastAsia"/>
          <w:sz w:val="32"/>
          <w:szCs w:val="32"/>
          <w:lang w:val="en-US" w:eastAsia="zh-CN"/>
        </w:rPr>
        <w:t>2个，分别为社会管理项目、公共服务项目；年初预算分别为459.81万元、1508.15万元；实际支出分别为655.95万元、1371.15万元。</w:t>
      </w:r>
      <w:r>
        <w:rPr>
          <w:rFonts w:hint="eastAsia"/>
          <w:sz w:val="32"/>
          <w:szCs w:val="32"/>
        </w:rPr>
        <w:t>具体情况如下：</w:t>
      </w:r>
    </w:p>
    <w:p>
      <w:pPr>
        <w:jc w:val="right"/>
      </w:pPr>
      <w:r>
        <w:rPr>
          <w:rFonts w:hint="eastAsia" w:ascii="Times New Roman" w:hAnsi="Times New Roman" w:cs="Times New Roman"/>
          <w:sz w:val="24"/>
          <w:szCs w:val="24"/>
          <w:lang w:val="en-US" w:eastAsia="zh-CN"/>
        </w:rPr>
        <w:t>金额单位：万元</w:t>
      </w:r>
    </w:p>
    <w:tbl>
      <w:tblPr>
        <w:tblStyle w:val="10"/>
        <w:tblW w:w="967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4"/>
        <w:gridCol w:w="1299"/>
        <w:gridCol w:w="3388"/>
        <w:gridCol w:w="945"/>
        <w:gridCol w:w="1005"/>
        <w:gridCol w:w="947"/>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jc w:val="center"/>
        </w:trPr>
        <w:tc>
          <w:tcPr>
            <w:tcW w:w="1144" w:type="dxa"/>
            <w:vMerge w:val="restart"/>
            <w:noWrap w:val="0"/>
            <w:vAlign w:val="center"/>
          </w:tcPr>
          <w:p>
            <w:pPr>
              <w:spacing w:line="240" w:lineRule="auto"/>
              <w:jc w:val="center"/>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项目名称</w:t>
            </w:r>
          </w:p>
        </w:tc>
        <w:tc>
          <w:tcPr>
            <w:tcW w:w="1299" w:type="dxa"/>
            <w:vMerge w:val="restart"/>
            <w:noWrap w:val="0"/>
            <w:vAlign w:val="center"/>
          </w:tcPr>
          <w:p>
            <w:pPr>
              <w:spacing w:line="240" w:lineRule="auto"/>
              <w:jc w:val="center"/>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项目类型</w:t>
            </w:r>
          </w:p>
        </w:tc>
        <w:tc>
          <w:tcPr>
            <w:tcW w:w="3388" w:type="dxa"/>
            <w:vMerge w:val="restart"/>
            <w:noWrap w:val="0"/>
            <w:vAlign w:val="center"/>
          </w:tcPr>
          <w:p>
            <w:pPr>
              <w:spacing w:line="240" w:lineRule="auto"/>
              <w:jc w:val="center"/>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资金用途、使用方向</w:t>
            </w:r>
          </w:p>
        </w:tc>
        <w:tc>
          <w:tcPr>
            <w:tcW w:w="1950" w:type="dxa"/>
            <w:gridSpan w:val="2"/>
            <w:noWrap w:val="0"/>
            <w:vAlign w:val="center"/>
          </w:tcPr>
          <w:p>
            <w:pPr>
              <w:spacing w:line="240" w:lineRule="auto"/>
              <w:jc w:val="center"/>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预算金额</w:t>
            </w:r>
          </w:p>
        </w:tc>
        <w:tc>
          <w:tcPr>
            <w:tcW w:w="1892" w:type="dxa"/>
            <w:gridSpan w:val="2"/>
            <w:noWrap w:val="0"/>
            <w:vAlign w:val="center"/>
          </w:tcPr>
          <w:p>
            <w:pPr>
              <w:spacing w:line="240" w:lineRule="auto"/>
              <w:jc w:val="center"/>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支出金额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1144" w:type="dxa"/>
            <w:vMerge w:val="continue"/>
            <w:noWrap w:val="0"/>
            <w:vAlign w:val="center"/>
          </w:tcPr>
          <w:p>
            <w:pPr>
              <w:spacing w:line="240" w:lineRule="auto"/>
              <w:jc w:val="center"/>
              <w:rPr>
                <w:rFonts w:hint="eastAsia" w:ascii="Times New Roman" w:hAnsi="Times New Roman" w:cs="Times New Roman"/>
                <w:sz w:val="21"/>
                <w:szCs w:val="21"/>
                <w:vertAlign w:val="baseline"/>
                <w:lang w:val="en-US" w:eastAsia="zh-CN"/>
              </w:rPr>
            </w:pPr>
          </w:p>
        </w:tc>
        <w:tc>
          <w:tcPr>
            <w:tcW w:w="1299" w:type="dxa"/>
            <w:vMerge w:val="continue"/>
            <w:noWrap w:val="0"/>
            <w:vAlign w:val="center"/>
          </w:tcPr>
          <w:p>
            <w:pPr>
              <w:spacing w:line="240" w:lineRule="auto"/>
              <w:jc w:val="center"/>
              <w:rPr>
                <w:rFonts w:hint="eastAsia" w:ascii="Times New Roman" w:hAnsi="Times New Roman" w:cs="Times New Roman"/>
                <w:sz w:val="21"/>
                <w:szCs w:val="21"/>
                <w:vertAlign w:val="baseline"/>
                <w:lang w:val="en-US" w:eastAsia="zh-CN"/>
              </w:rPr>
            </w:pPr>
          </w:p>
        </w:tc>
        <w:tc>
          <w:tcPr>
            <w:tcW w:w="3388" w:type="dxa"/>
            <w:vMerge w:val="continue"/>
            <w:noWrap w:val="0"/>
            <w:vAlign w:val="center"/>
          </w:tcPr>
          <w:p>
            <w:pPr>
              <w:spacing w:line="240" w:lineRule="auto"/>
              <w:jc w:val="center"/>
              <w:rPr>
                <w:rFonts w:hint="eastAsia" w:ascii="Times New Roman" w:hAnsi="Times New Roman" w:cs="Times New Roman"/>
                <w:sz w:val="21"/>
                <w:szCs w:val="21"/>
                <w:vertAlign w:val="baseline"/>
                <w:lang w:val="en-US" w:eastAsia="zh-CN"/>
              </w:rPr>
            </w:pPr>
          </w:p>
        </w:tc>
        <w:tc>
          <w:tcPr>
            <w:tcW w:w="945" w:type="dxa"/>
            <w:noWrap w:val="0"/>
            <w:vAlign w:val="center"/>
          </w:tcPr>
          <w:p>
            <w:pPr>
              <w:spacing w:line="240" w:lineRule="auto"/>
              <w:jc w:val="center"/>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指标</w:t>
            </w:r>
          </w:p>
          <w:p>
            <w:pPr>
              <w:spacing w:line="240" w:lineRule="auto"/>
              <w:jc w:val="center"/>
              <w:rPr>
                <w:rFonts w:hint="eastAsia" w:ascii="Times New Roman" w:hAnsi="Times New Roman" w:eastAsia="仿宋_GB2312" w:cs="Times New Roman"/>
                <w:kern w:val="2"/>
                <w:sz w:val="21"/>
                <w:szCs w:val="21"/>
                <w:vertAlign w:val="baseline"/>
                <w:lang w:val="en-US" w:eastAsia="zh-CN" w:bidi="ar-SA"/>
              </w:rPr>
            </w:pPr>
            <w:r>
              <w:rPr>
                <w:rFonts w:hint="eastAsia" w:ascii="Times New Roman" w:hAnsi="Times New Roman" w:cs="Times New Roman"/>
                <w:sz w:val="21"/>
                <w:szCs w:val="21"/>
                <w:vertAlign w:val="baseline"/>
                <w:lang w:val="en-US" w:eastAsia="zh-CN"/>
              </w:rPr>
              <w:t>总额</w:t>
            </w:r>
          </w:p>
        </w:tc>
        <w:tc>
          <w:tcPr>
            <w:tcW w:w="1005" w:type="dxa"/>
            <w:noWrap w:val="0"/>
            <w:vAlign w:val="center"/>
          </w:tcPr>
          <w:p>
            <w:pPr>
              <w:spacing w:line="240" w:lineRule="auto"/>
              <w:jc w:val="center"/>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其中：区级资金</w:t>
            </w:r>
          </w:p>
        </w:tc>
        <w:tc>
          <w:tcPr>
            <w:tcW w:w="947" w:type="dxa"/>
            <w:noWrap w:val="0"/>
            <w:vAlign w:val="center"/>
          </w:tcPr>
          <w:p>
            <w:pPr>
              <w:spacing w:line="240" w:lineRule="auto"/>
              <w:jc w:val="center"/>
              <w:rPr>
                <w:rFonts w:hint="eastAsia" w:ascii="Times New Roman" w:hAnsi="Times New Roman" w:eastAsia="仿宋_GB2312" w:cs="Times New Roman"/>
                <w:kern w:val="2"/>
                <w:sz w:val="21"/>
                <w:szCs w:val="21"/>
                <w:vertAlign w:val="baseline"/>
                <w:lang w:val="en-US" w:eastAsia="zh-CN" w:bidi="ar-SA"/>
              </w:rPr>
            </w:pPr>
            <w:r>
              <w:rPr>
                <w:rFonts w:hint="eastAsia" w:ascii="Times New Roman" w:hAnsi="Times New Roman" w:cs="Times New Roman"/>
                <w:sz w:val="21"/>
                <w:szCs w:val="21"/>
                <w:vertAlign w:val="baseline"/>
                <w:lang w:val="en-US" w:eastAsia="zh-CN"/>
              </w:rPr>
              <w:t>支出总额</w:t>
            </w:r>
          </w:p>
        </w:tc>
        <w:tc>
          <w:tcPr>
            <w:tcW w:w="945" w:type="dxa"/>
            <w:noWrap w:val="0"/>
            <w:vAlign w:val="center"/>
          </w:tcPr>
          <w:p>
            <w:pPr>
              <w:spacing w:line="240" w:lineRule="auto"/>
              <w:jc w:val="center"/>
              <w:rPr>
                <w:rFonts w:hint="eastAsia" w:ascii="Times New Roman" w:hAnsi="Times New Roman" w:eastAsia="仿宋_GB2312" w:cs="Times New Roman"/>
                <w:kern w:val="2"/>
                <w:sz w:val="21"/>
                <w:szCs w:val="21"/>
                <w:vertAlign w:val="baseline"/>
                <w:lang w:val="en-US" w:eastAsia="zh-CN" w:bidi="ar-SA"/>
              </w:rPr>
            </w:pPr>
            <w:r>
              <w:rPr>
                <w:rFonts w:hint="eastAsia" w:ascii="Times New Roman" w:hAnsi="Times New Roman" w:cs="Times New Roman"/>
                <w:sz w:val="21"/>
                <w:szCs w:val="21"/>
                <w:vertAlign w:val="baseline"/>
                <w:lang w:val="en-US" w:eastAsia="zh-CN"/>
              </w:rPr>
              <w:t>其中：区级资金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jc w:val="center"/>
        </w:trPr>
        <w:tc>
          <w:tcPr>
            <w:tcW w:w="1144" w:type="dxa"/>
            <w:noWrap w:val="0"/>
            <w:vAlign w:val="center"/>
          </w:tcPr>
          <w:p>
            <w:pPr>
              <w:spacing w:line="240" w:lineRule="auto"/>
              <w:jc w:val="center"/>
              <w:rPr>
                <w:rFonts w:hint="eastAsia" w:cs="Times New Roman"/>
                <w:sz w:val="21"/>
                <w:szCs w:val="21"/>
                <w:vertAlign w:val="baseline"/>
                <w:lang w:val="en-US" w:eastAsia="zh-CN"/>
              </w:rPr>
            </w:pPr>
            <w:r>
              <w:rPr>
                <w:rFonts w:hint="eastAsia" w:cs="Times New Roman"/>
                <w:sz w:val="21"/>
                <w:szCs w:val="21"/>
                <w:vertAlign w:val="baseline"/>
                <w:lang w:val="en-US" w:eastAsia="zh-CN"/>
              </w:rPr>
              <w:t>社会管理</w:t>
            </w:r>
          </w:p>
        </w:tc>
        <w:tc>
          <w:tcPr>
            <w:tcW w:w="1299" w:type="dxa"/>
            <w:noWrap w:val="0"/>
            <w:vAlign w:val="center"/>
          </w:tcPr>
          <w:p>
            <w:pPr>
              <w:spacing w:line="240" w:lineRule="auto"/>
              <w:jc w:val="both"/>
              <w:rPr>
                <w:rFonts w:hint="eastAsia" w:cs="Times New Roman"/>
                <w:sz w:val="21"/>
                <w:szCs w:val="21"/>
                <w:vertAlign w:val="baseline"/>
                <w:lang w:val="en-US" w:eastAsia="zh-CN"/>
              </w:rPr>
            </w:pPr>
            <w:r>
              <w:rPr>
                <w:rFonts w:hint="eastAsia" w:cs="Times New Roman"/>
                <w:sz w:val="21"/>
                <w:szCs w:val="21"/>
                <w:vertAlign w:val="baseline"/>
                <w:lang w:val="en-US" w:eastAsia="zh-CN"/>
              </w:rPr>
              <w:t>经常性项目</w:t>
            </w:r>
          </w:p>
        </w:tc>
        <w:tc>
          <w:tcPr>
            <w:tcW w:w="3388" w:type="dxa"/>
            <w:noWrap w:val="0"/>
            <w:vAlign w:val="center"/>
          </w:tcPr>
          <w:p>
            <w:pPr>
              <w:spacing w:line="240" w:lineRule="auto"/>
              <w:jc w:val="both"/>
              <w:rPr>
                <w:rFonts w:hint="eastAsia" w:eastAsia="仿宋_GB2312"/>
                <w:sz w:val="24"/>
                <w:szCs w:val="22"/>
                <w:lang w:val="en-US" w:eastAsia="zh-CN"/>
              </w:rPr>
            </w:pPr>
            <w:r>
              <w:rPr>
                <w:rFonts w:hint="eastAsia" w:eastAsia="仿宋_GB2312"/>
                <w:sz w:val="24"/>
                <w:szCs w:val="22"/>
                <w:lang w:val="en-US" w:eastAsia="zh-CN"/>
              </w:rPr>
              <w:t>主要用于党建、纪检、武装、司法、维护稳定等</w:t>
            </w:r>
            <w:r>
              <w:rPr>
                <w:rFonts w:hint="eastAsia"/>
                <w:sz w:val="24"/>
                <w:szCs w:val="22"/>
                <w:lang w:val="en-US" w:eastAsia="zh-CN"/>
              </w:rPr>
              <w:t>支出。</w:t>
            </w:r>
          </w:p>
        </w:tc>
        <w:tc>
          <w:tcPr>
            <w:tcW w:w="945" w:type="dxa"/>
            <w:noWrap w:val="0"/>
            <w:vAlign w:val="center"/>
          </w:tcPr>
          <w:p>
            <w:pPr>
              <w:spacing w:line="240" w:lineRule="auto"/>
              <w:jc w:val="right"/>
              <w:rPr>
                <w:rFonts w:hint="eastAsia" w:cs="Times New Roman"/>
                <w:sz w:val="21"/>
                <w:szCs w:val="21"/>
                <w:vertAlign w:val="baseline"/>
                <w:lang w:val="en-US" w:eastAsia="zh-CN"/>
              </w:rPr>
            </w:pPr>
            <w:r>
              <w:rPr>
                <w:rFonts w:hint="eastAsia" w:cs="Times New Roman"/>
                <w:sz w:val="21"/>
                <w:szCs w:val="21"/>
                <w:vertAlign w:val="baseline"/>
                <w:lang w:val="en-US" w:eastAsia="zh-CN"/>
              </w:rPr>
              <w:t>459.81</w:t>
            </w:r>
          </w:p>
        </w:tc>
        <w:tc>
          <w:tcPr>
            <w:tcW w:w="1005" w:type="dxa"/>
            <w:noWrap w:val="0"/>
            <w:vAlign w:val="center"/>
          </w:tcPr>
          <w:p>
            <w:pPr>
              <w:spacing w:line="240" w:lineRule="auto"/>
              <w:jc w:val="right"/>
              <w:rPr>
                <w:rFonts w:hint="eastAsia" w:cs="Times New Roman"/>
                <w:sz w:val="21"/>
                <w:szCs w:val="21"/>
                <w:vertAlign w:val="baseline"/>
                <w:lang w:val="en-US" w:eastAsia="zh-CN"/>
              </w:rPr>
            </w:pPr>
            <w:r>
              <w:rPr>
                <w:rFonts w:hint="eastAsia" w:cs="Times New Roman"/>
                <w:sz w:val="21"/>
                <w:szCs w:val="21"/>
                <w:vertAlign w:val="baseline"/>
                <w:lang w:val="en-US" w:eastAsia="zh-CN"/>
              </w:rPr>
              <w:t>459.81</w:t>
            </w:r>
          </w:p>
        </w:tc>
        <w:tc>
          <w:tcPr>
            <w:tcW w:w="947" w:type="dxa"/>
            <w:noWrap w:val="0"/>
            <w:vAlign w:val="center"/>
          </w:tcPr>
          <w:p>
            <w:pPr>
              <w:spacing w:line="240" w:lineRule="auto"/>
              <w:jc w:val="right"/>
              <w:rPr>
                <w:rFonts w:hint="eastAsia" w:cs="Times New Roman"/>
                <w:sz w:val="21"/>
                <w:szCs w:val="21"/>
                <w:vertAlign w:val="baseline"/>
                <w:lang w:val="en-US" w:eastAsia="zh-CN"/>
              </w:rPr>
            </w:pPr>
            <w:r>
              <w:rPr>
                <w:rFonts w:hint="eastAsia" w:cs="Times New Roman"/>
                <w:sz w:val="21"/>
                <w:szCs w:val="21"/>
                <w:vertAlign w:val="baseline"/>
                <w:lang w:val="en-US" w:eastAsia="zh-CN"/>
              </w:rPr>
              <w:t>655.95</w:t>
            </w:r>
          </w:p>
        </w:tc>
        <w:tc>
          <w:tcPr>
            <w:tcW w:w="945" w:type="dxa"/>
            <w:noWrap w:val="0"/>
            <w:vAlign w:val="center"/>
          </w:tcPr>
          <w:p>
            <w:pPr>
              <w:spacing w:line="240" w:lineRule="auto"/>
              <w:jc w:val="right"/>
              <w:rPr>
                <w:rFonts w:hint="eastAsia" w:cs="Times New Roman"/>
                <w:sz w:val="21"/>
                <w:szCs w:val="21"/>
                <w:vertAlign w:val="baseline"/>
                <w:lang w:val="en-US" w:eastAsia="zh-CN"/>
              </w:rPr>
            </w:pPr>
            <w:r>
              <w:rPr>
                <w:rFonts w:hint="eastAsia" w:cs="Times New Roman"/>
                <w:sz w:val="21"/>
                <w:szCs w:val="21"/>
                <w:vertAlign w:val="baseline"/>
                <w:lang w:val="en-US" w:eastAsia="zh-CN"/>
              </w:rPr>
              <w:t>655.95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jc w:val="center"/>
        </w:trPr>
        <w:tc>
          <w:tcPr>
            <w:tcW w:w="1144" w:type="dxa"/>
            <w:noWrap w:val="0"/>
            <w:vAlign w:val="center"/>
          </w:tcPr>
          <w:p>
            <w:pPr>
              <w:spacing w:line="240" w:lineRule="auto"/>
              <w:jc w:val="center"/>
              <w:rPr>
                <w:rFonts w:hint="default" w:ascii="Times New Roman" w:hAnsi="Times New Roman" w:cs="Times New Roman"/>
                <w:sz w:val="21"/>
                <w:szCs w:val="21"/>
                <w:vertAlign w:val="baseline"/>
                <w:lang w:val="en-US" w:eastAsia="zh-CN"/>
              </w:rPr>
            </w:pPr>
            <w:r>
              <w:rPr>
                <w:rFonts w:hint="eastAsia" w:cs="Times New Roman"/>
                <w:sz w:val="21"/>
                <w:szCs w:val="21"/>
                <w:vertAlign w:val="baseline"/>
                <w:lang w:val="en-US" w:eastAsia="zh-CN"/>
              </w:rPr>
              <w:t>公共服务</w:t>
            </w:r>
          </w:p>
        </w:tc>
        <w:tc>
          <w:tcPr>
            <w:tcW w:w="1299" w:type="dxa"/>
            <w:noWrap w:val="0"/>
            <w:vAlign w:val="center"/>
          </w:tcPr>
          <w:p>
            <w:pPr>
              <w:spacing w:line="240" w:lineRule="auto"/>
              <w:jc w:val="both"/>
              <w:rPr>
                <w:rFonts w:hint="eastAsia" w:ascii="Times New Roman" w:hAnsi="Times New Roman" w:cs="Times New Roman"/>
                <w:sz w:val="21"/>
                <w:szCs w:val="21"/>
                <w:vertAlign w:val="baseline"/>
                <w:lang w:val="en-US" w:eastAsia="zh-CN"/>
              </w:rPr>
            </w:pPr>
            <w:r>
              <w:rPr>
                <w:rFonts w:hint="eastAsia" w:cs="Times New Roman"/>
                <w:sz w:val="21"/>
                <w:szCs w:val="21"/>
                <w:vertAlign w:val="baseline"/>
                <w:lang w:val="en-US" w:eastAsia="zh-CN"/>
              </w:rPr>
              <w:t>经常性项目</w:t>
            </w:r>
          </w:p>
        </w:tc>
        <w:tc>
          <w:tcPr>
            <w:tcW w:w="3388" w:type="dxa"/>
            <w:noWrap w:val="0"/>
            <w:vAlign w:val="center"/>
          </w:tcPr>
          <w:p>
            <w:pPr>
              <w:spacing w:line="240" w:lineRule="auto"/>
              <w:jc w:val="both"/>
              <w:rPr>
                <w:rFonts w:hint="eastAsia" w:ascii="Times New Roman" w:hAnsi="Times New Roman" w:cs="Times New Roman"/>
                <w:sz w:val="21"/>
                <w:szCs w:val="21"/>
                <w:vertAlign w:val="baseline"/>
                <w:lang w:val="en-US" w:eastAsia="zh-CN"/>
              </w:rPr>
            </w:pPr>
            <w:r>
              <w:rPr>
                <w:rFonts w:hint="eastAsia" w:eastAsia="仿宋_GB2312"/>
                <w:sz w:val="24"/>
                <w:szCs w:val="22"/>
                <w:lang w:val="en-US" w:eastAsia="zh-CN"/>
              </w:rPr>
              <w:t>主要用于社会救助、居家养老服务、老龄工作、救灾救济、拥军优属、劳务就业、惠民项目、社会保障、社区社会化组织管理、卫生、计生等</w:t>
            </w:r>
            <w:r>
              <w:rPr>
                <w:rFonts w:hint="eastAsia"/>
                <w:sz w:val="24"/>
                <w:szCs w:val="22"/>
                <w:lang w:val="en-US" w:eastAsia="zh-CN"/>
              </w:rPr>
              <w:t>支出。</w:t>
            </w:r>
          </w:p>
        </w:tc>
        <w:tc>
          <w:tcPr>
            <w:tcW w:w="945" w:type="dxa"/>
            <w:noWrap w:val="0"/>
            <w:vAlign w:val="center"/>
          </w:tcPr>
          <w:p>
            <w:pPr>
              <w:spacing w:line="240" w:lineRule="auto"/>
              <w:jc w:val="right"/>
              <w:rPr>
                <w:rFonts w:hint="default" w:ascii="Times New Roman" w:hAnsi="Times New Roman" w:cs="Times New Roman"/>
                <w:sz w:val="21"/>
                <w:szCs w:val="21"/>
                <w:vertAlign w:val="baseline"/>
                <w:lang w:val="en-US" w:eastAsia="zh-CN"/>
              </w:rPr>
            </w:pPr>
            <w:r>
              <w:rPr>
                <w:rFonts w:hint="eastAsia" w:cs="Times New Roman"/>
                <w:sz w:val="21"/>
                <w:szCs w:val="21"/>
                <w:vertAlign w:val="baseline"/>
                <w:lang w:val="en-US" w:eastAsia="zh-CN"/>
              </w:rPr>
              <w:t>1508.15</w:t>
            </w:r>
          </w:p>
        </w:tc>
        <w:tc>
          <w:tcPr>
            <w:tcW w:w="1005" w:type="dxa"/>
            <w:noWrap w:val="0"/>
            <w:vAlign w:val="center"/>
          </w:tcPr>
          <w:p>
            <w:pPr>
              <w:spacing w:line="240" w:lineRule="auto"/>
              <w:jc w:val="right"/>
              <w:rPr>
                <w:rFonts w:hint="default" w:ascii="Times New Roman" w:hAnsi="Times New Roman" w:eastAsia="仿宋_GB2312" w:cs="Times New Roman"/>
                <w:kern w:val="2"/>
                <w:sz w:val="21"/>
                <w:szCs w:val="21"/>
                <w:vertAlign w:val="baseline"/>
                <w:lang w:val="en-US" w:eastAsia="zh-CN" w:bidi="ar-SA"/>
              </w:rPr>
            </w:pPr>
            <w:r>
              <w:rPr>
                <w:rFonts w:hint="eastAsia" w:cs="Times New Roman"/>
                <w:sz w:val="21"/>
                <w:szCs w:val="21"/>
                <w:vertAlign w:val="baseline"/>
                <w:lang w:val="en-US" w:eastAsia="zh-CN"/>
              </w:rPr>
              <w:t>1508.15</w:t>
            </w:r>
          </w:p>
        </w:tc>
        <w:tc>
          <w:tcPr>
            <w:tcW w:w="947" w:type="dxa"/>
            <w:noWrap w:val="0"/>
            <w:vAlign w:val="center"/>
          </w:tcPr>
          <w:p>
            <w:pPr>
              <w:spacing w:line="240" w:lineRule="auto"/>
              <w:jc w:val="right"/>
              <w:rPr>
                <w:rFonts w:hint="default" w:ascii="Times New Roman" w:hAnsi="Times New Roman" w:cs="Times New Roman"/>
                <w:sz w:val="21"/>
                <w:szCs w:val="21"/>
                <w:vertAlign w:val="baseline"/>
                <w:lang w:val="en-US" w:eastAsia="zh-CN"/>
              </w:rPr>
            </w:pPr>
            <w:r>
              <w:rPr>
                <w:rFonts w:hint="eastAsia" w:cs="Times New Roman"/>
                <w:sz w:val="21"/>
                <w:szCs w:val="21"/>
                <w:vertAlign w:val="baseline"/>
                <w:lang w:val="en-US" w:eastAsia="zh-CN"/>
              </w:rPr>
              <w:t>1371.15</w:t>
            </w:r>
          </w:p>
        </w:tc>
        <w:tc>
          <w:tcPr>
            <w:tcW w:w="945" w:type="dxa"/>
            <w:noWrap w:val="0"/>
            <w:vAlign w:val="center"/>
          </w:tcPr>
          <w:p>
            <w:pPr>
              <w:spacing w:line="240" w:lineRule="auto"/>
              <w:jc w:val="right"/>
              <w:rPr>
                <w:rFonts w:hint="default" w:ascii="Times New Roman" w:hAnsi="Times New Roman" w:cs="Times New Roman"/>
                <w:sz w:val="21"/>
                <w:szCs w:val="21"/>
                <w:vertAlign w:val="baseline"/>
                <w:lang w:val="en-US" w:eastAsia="zh-CN"/>
              </w:rPr>
            </w:pPr>
            <w:r>
              <w:rPr>
                <w:rFonts w:hint="eastAsia" w:cs="Times New Roman"/>
                <w:sz w:val="21"/>
                <w:szCs w:val="21"/>
                <w:vertAlign w:val="baseline"/>
                <w:lang w:val="en-US" w:eastAsia="zh-CN"/>
              </w:rPr>
              <w:t>1371.15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5831" w:type="dxa"/>
            <w:gridSpan w:val="3"/>
            <w:noWrap w:val="0"/>
            <w:vAlign w:val="center"/>
          </w:tcPr>
          <w:p>
            <w:pPr>
              <w:tabs>
                <w:tab w:val="left" w:pos="2243"/>
              </w:tabs>
              <w:spacing w:line="240" w:lineRule="auto"/>
              <w:jc w:val="center"/>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合计</w:t>
            </w:r>
          </w:p>
        </w:tc>
        <w:tc>
          <w:tcPr>
            <w:tcW w:w="945" w:type="dxa"/>
            <w:noWrap w:val="0"/>
            <w:vAlign w:val="center"/>
          </w:tcPr>
          <w:p>
            <w:pPr>
              <w:spacing w:line="240" w:lineRule="auto"/>
              <w:jc w:val="right"/>
              <w:rPr>
                <w:rFonts w:hint="default" w:ascii="Times New Roman" w:hAnsi="Times New Roman" w:cs="Times New Roman"/>
                <w:sz w:val="21"/>
                <w:szCs w:val="21"/>
                <w:vertAlign w:val="baseline"/>
                <w:lang w:val="en-US" w:eastAsia="zh-CN"/>
              </w:rPr>
            </w:pPr>
            <w:r>
              <w:rPr>
                <w:rFonts w:hint="eastAsia" w:cs="Times New Roman"/>
                <w:sz w:val="21"/>
                <w:szCs w:val="21"/>
                <w:vertAlign w:val="baseline"/>
                <w:lang w:val="en-US" w:eastAsia="zh-CN"/>
              </w:rPr>
              <w:t>1967.96</w:t>
            </w:r>
          </w:p>
        </w:tc>
        <w:tc>
          <w:tcPr>
            <w:tcW w:w="1005" w:type="dxa"/>
            <w:noWrap w:val="0"/>
            <w:vAlign w:val="center"/>
          </w:tcPr>
          <w:p>
            <w:pPr>
              <w:spacing w:line="240" w:lineRule="auto"/>
              <w:jc w:val="right"/>
              <w:rPr>
                <w:rFonts w:hint="default" w:ascii="Times New Roman" w:hAnsi="Times New Roman" w:cs="Times New Roman"/>
                <w:sz w:val="21"/>
                <w:szCs w:val="21"/>
                <w:vertAlign w:val="baseline"/>
                <w:lang w:val="en-US" w:eastAsia="zh-CN"/>
              </w:rPr>
            </w:pPr>
            <w:r>
              <w:rPr>
                <w:rFonts w:hint="eastAsia" w:cs="Times New Roman"/>
                <w:sz w:val="21"/>
                <w:szCs w:val="21"/>
                <w:vertAlign w:val="baseline"/>
                <w:lang w:val="en-US" w:eastAsia="zh-CN"/>
              </w:rPr>
              <w:t>1967.96</w:t>
            </w:r>
          </w:p>
        </w:tc>
        <w:tc>
          <w:tcPr>
            <w:tcW w:w="947" w:type="dxa"/>
            <w:noWrap w:val="0"/>
            <w:vAlign w:val="center"/>
          </w:tcPr>
          <w:p>
            <w:pPr>
              <w:spacing w:line="240" w:lineRule="auto"/>
              <w:jc w:val="right"/>
              <w:rPr>
                <w:rFonts w:hint="default" w:ascii="Times New Roman" w:hAnsi="Times New Roman" w:cs="Times New Roman"/>
                <w:sz w:val="21"/>
                <w:szCs w:val="21"/>
                <w:vertAlign w:val="baseline"/>
                <w:lang w:val="en-US" w:eastAsia="zh-CN"/>
              </w:rPr>
            </w:pPr>
            <w:r>
              <w:rPr>
                <w:rFonts w:hint="eastAsia" w:cs="Times New Roman"/>
                <w:sz w:val="21"/>
                <w:szCs w:val="21"/>
                <w:vertAlign w:val="baseline"/>
                <w:lang w:val="en-US" w:eastAsia="zh-CN"/>
              </w:rPr>
              <w:t>2027.1</w:t>
            </w:r>
          </w:p>
        </w:tc>
        <w:tc>
          <w:tcPr>
            <w:tcW w:w="945" w:type="dxa"/>
            <w:noWrap w:val="0"/>
            <w:vAlign w:val="center"/>
          </w:tcPr>
          <w:p>
            <w:pPr>
              <w:spacing w:line="240" w:lineRule="auto"/>
              <w:jc w:val="right"/>
              <w:rPr>
                <w:rFonts w:hint="default" w:ascii="Times New Roman" w:hAnsi="Times New Roman" w:eastAsia="仿宋_GB2312" w:cs="Times New Roman"/>
                <w:kern w:val="2"/>
                <w:sz w:val="21"/>
                <w:szCs w:val="21"/>
                <w:vertAlign w:val="baseline"/>
                <w:lang w:val="en-US" w:eastAsia="zh-CN" w:bidi="ar-SA"/>
              </w:rPr>
            </w:pPr>
            <w:r>
              <w:rPr>
                <w:rFonts w:hint="eastAsia" w:cs="Times New Roman"/>
                <w:kern w:val="2"/>
                <w:sz w:val="21"/>
                <w:szCs w:val="21"/>
                <w:vertAlign w:val="baseline"/>
                <w:lang w:val="en-US" w:eastAsia="zh-CN" w:bidi="ar-SA"/>
              </w:rPr>
              <w:t>2027.1</w:t>
            </w:r>
          </w:p>
        </w:tc>
      </w:tr>
    </w:tbl>
    <w:p/>
    <w:p>
      <w:pPr>
        <w:numPr>
          <w:ilvl w:val="0"/>
          <w:numId w:val="1"/>
        </w:numPr>
        <w:spacing w:line="560" w:lineRule="exact"/>
        <w:ind w:firstLine="640" w:firstLineChars="200"/>
        <w:rPr>
          <w:rFonts w:hint="eastAsia" w:eastAsia="黑体"/>
          <w:sz w:val="32"/>
          <w:szCs w:val="32"/>
        </w:rPr>
      </w:pPr>
      <w:r>
        <w:rPr>
          <w:rFonts w:hint="eastAsia" w:eastAsia="黑体"/>
          <w:sz w:val="32"/>
          <w:szCs w:val="32"/>
          <w:lang w:eastAsia="zh-CN"/>
        </w:rPr>
        <w:t>重点</w:t>
      </w:r>
      <w:r>
        <w:rPr>
          <w:rFonts w:hint="eastAsia" w:eastAsia="黑体"/>
          <w:sz w:val="32"/>
          <w:szCs w:val="32"/>
        </w:rPr>
        <w:t>项目绩效</w:t>
      </w:r>
      <w:r>
        <w:rPr>
          <w:rFonts w:hint="eastAsia" w:eastAsia="黑体"/>
          <w:sz w:val="32"/>
          <w:szCs w:val="32"/>
          <w:lang w:eastAsia="zh-CN"/>
        </w:rPr>
        <w:t>完成</w:t>
      </w:r>
      <w:r>
        <w:rPr>
          <w:rFonts w:hint="eastAsia" w:eastAsia="黑体"/>
          <w:sz w:val="32"/>
          <w:szCs w:val="32"/>
        </w:rPr>
        <w:t>情况</w:t>
      </w:r>
    </w:p>
    <w:p>
      <w:pPr>
        <w:spacing w:line="560" w:lineRule="exact"/>
        <w:ind w:firstLine="640" w:firstLineChars="200"/>
        <w:rPr>
          <w:rFonts w:hint="eastAsia"/>
        </w:rPr>
      </w:pPr>
      <w:r>
        <w:rPr>
          <w:rFonts w:hint="eastAsia"/>
          <w:sz w:val="32"/>
          <w:szCs w:val="32"/>
          <w:lang w:val="en-US" w:eastAsia="zh-CN"/>
        </w:rPr>
        <w:t>1、社会管理项目主要绩效：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cs="Times New Roman"/>
          <w:sz w:val="32"/>
          <w:szCs w:val="32"/>
          <w:lang w:val="en-US" w:eastAsia="zh-CN"/>
        </w:rPr>
      </w:pPr>
      <w:r>
        <w:rPr>
          <w:rFonts w:hint="eastAsia" w:ascii="Times New Roman" w:hAnsi="Times New Roman" w:cs="Times New Roman"/>
          <w:sz w:val="32"/>
          <w:szCs w:val="32"/>
          <w:lang w:val="en-US" w:eastAsia="zh-CN"/>
        </w:rPr>
        <w:t>继续以开展常态化扫黑除恶斗争为牵引，依法重点打击高发频发的电信网络诈骗、黄赌毒等违法犯罪，不断推进扫黑除恶专项斗争工作的开展。</w:t>
      </w:r>
      <w:r>
        <w:rPr>
          <w:rFonts w:hint="eastAsia" w:cs="Times New Roman"/>
          <w:sz w:val="32"/>
          <w:szCs w:val="32"/>
          <w:lang w:val="en-US" w:eastAsia="zh-CN"/>
        </w:rPr>
        <w:t>累计</w:t>
      </w:r>
      <w:r>
        <w:rPr>
          <w:rFonts w:hint="eastAsia" w:ascii="Times New Roman" w:hAnsi="Times New Roman" w:cs="Times New Roman"/>
          <w:sz w:val="32"/>
          <w:szCs w:val="32"/>
          <w:lang w:val="en-US" w:eastAsia="zh-CN"/>
        </w:rPr>
        <w:t>发放宣传资料1000余份，悬挂横幅30余条，播放电子显示屏30余块。在建党100周年及“两节”、“两会”特护期间，进京接访各类重点人员达50余人次，全年共办理网上来信、来访、投诉信访件54余件，稳妥处理了群众反映的各类诉求，维护了全街社会大局的稳定。今年共化解张建球、刘建安、潘定国、张恩等信访遗留问题</w:t>
      </w:r>
      <w:r>
        <w:rPr>
          <w:rFonts w:hint="eastAsia" w:cs="Times New Roman"/>
          <w:sz w:val="32"/>
          <w:szCs w:val="32"/>
          <w:lang w:val="en-US" w:eastAsia="zh-CN"/>
        </w:rPr>
        <w:t>4</w:t>
      </w:r>
      <w:r>
        <w:rPr>
          <w:rFonts w:hint="eastAsia" w:ascii="Times New Roman" w:hAnsi="Times New Roman" w:cs="Times New Roman"/>
          <w:sz w:val="32"/>
          <w:szCs w:val="32"/>
          <w:lang w:val="en-US" w:eastAsia="zh-CN"/>
        </w:rPr>
        <w:t>件。按照区610办关于开展反邪教警示教育活动的安排，我街调整和充实了反邪教警示教育活动领导小组，同时在今年每季度对业务骨干进行了4次培训。在今年各类活动中共发放各种宣传资料5000余份，播放光碟10余次，出宣传栏4期，大小幅标语40余幅，受教育人数达1000余人次。开展禁毒宣传活动10余场次，社区党建法治联合宣传7场次，组织各类讲法课堂20余场，开展企业法治活动10余场次，组织基层立法调研活动2场次，惠及全街民众达万余人，有效地提升了伍家岭街道居民群众的法律知识水平和守法意识。全街今年共排查矛盾纠纷200余次，司法所共调处各类矛盾纠纷30件，其中一般案件18件，简易纠纷8件，疑难复杂1件，重大纠纷3件，调处率达100％，调处成功率达100％，履行率100％。按照区道路交通顽瘴痼疾工作及反电诈工作要求，全年在辖区范围内悬挂横幅60余条，橱窗展板14块，清理僵尸车46余台，集中对一盔一带交通整治750人次，重点对佳园路、双拥路、陡岭路、学堂园路等道路进行交通整治55余次。组织开展反电诈知识培训及宣传活动15场次，下载反电诈APP3304人次，发放反电诈宣传手册1200份。坚持以组织建设为抓手，严格落实“三会一课”、主题党日等组织生活制度，梳理规范党员发展流程，顺利发展党员19名，组织建设规范化、标准化程度进一步加深。聚焦“践行三高四新、奋力迈向北强”，开展党史主题宣讲12次、集中学习40余次、知识竞赛3场，辐射街道辖区党员千余名。</w:t>
      </w:r>
      <w:r>
        <w:rPr>
          <w:rFonts w:hint="default" w:ascii="Times New Roman" w:hAnsi="Times New Roman" w:cs="Times New Roman"/>
          <w:sz w:val="32"/>
          <w:szCs w:val="32"/>
          <w:lang w:val="en-US" w:eastAsia="zh-CN"/>
        </w:rPr>
        <w:t>与中国移动通信集团长沙分公司签订“党建共创”协议，联合开展活动2次，实现优势互补、共建共享。充分运用“吹哨报到”机制，成功解决民生难题</w:t>
      </w:r>
      <w:r>
        <w:rPr>
          <w:rFonts w:hint="eastAsia" w:ascii="Times New Roman" w:hAnsi="Times New Roman" w:cs="Times New Roman"/>
          <w:sz w:val="32"/>
          <w:szCs w:val="32"/>
          <w:lang w:val="en-US" w:eastAsia="zh-CN"/>
        </w:rPr>
        <w:t>10</w:t>
      </w:r>
      <w:r>
        <w:rPr>
          <w:rFonts w:hint="default" w:ascii="Times New Roman" w:hAnsi="Times New Roman" w:cs="Times New Roman"/>
          <w:sz w:val="32"/>
          <w:szCs w:val="32"/>
          <w:lang w:val="en-US" w:eastAsia="zh-CN"/>
        </w:rPr>
        <w:t>个。积极主动开展“我为群众办实事”实践活动，有效解决蒋家垅社区跨京广铁路人行天桥照明、佳阳小区电动车棚建设、铁路宿舍30栋左侧道路修整硬化、陈家湾菜地护坡加固等民生问题75个</w:t>
      </w:r>
      <w:r>
        <w:rPr>
          <w:rFonts w:hint="eastAsia" w:ascii="Times New Roman" w:hAnsi="Times New Roman" w:cs="Times New Roman"/>
          <w:sz w:val="32"/>
          <w:szCs w:val="32"/>
          <w:lang w:val="en-US" w:eastAsia="zh-CN"/>
        </w:rPr>
        <w:t>。围绕建党百年主题，积极谋划，出台《伍家岭街道庆祝建党100周年主题党建活动方案》，通过</w:t>
      </w:r>
      <w:r>
        <w:rPr>
          <w:rFonts w:hint="eastAsia" w:cs="Times New Roman"/>
          <w:sz w:val="32"/>
          <w:szCs w:val="32"/>
          <w:lang w:val="en-US" w:eastAsia="zh-CN"/>
        </w:rPr>
        <w:t>9</w:t>
      </w:r>
      <w:r>
        <w:rPr>
          <w:rFonts w:hint="eastAsia" w:ascii="Times New Roman" w:hAnsi="Times New Roman" w:cs="Times New Roman"/>
          <w:sz w:val="32"/>
          <w:szCs w:val="32"/>
          <w:lang w:val="en-US" w:eastAsia="zh-CN"/>
        </w:rPr>
        <w:t>个系列子活动，浓厚节日庆祝氛围。七一前夕，顺利完成全街七一文艺汇演，通报表彰省市区“两优一先”对象100人，走访慰问生活困难党员、老党员36人，为全街党龄达到50年的231名老党员颁发“光荣在党50年”纪念章，全街庆祝氛围浓厚，党员凝聚力不断提升。有序推进小区党组织组建工作，今年新成立小区党支部7个，党建活动阵地4个，新增党建活动阵地910平米，小区党建水平不断提升。新成立两新党组织3家，凯乐微谷楼宇实现党组织从</w:t>
      </w:r>
      <w:r>
        <w:rPr>
          <w:rFonts w:hint="eastAsia" w:cs="Times New Roman"/>
          <w:sz w:val="32"/>
          <w:szCs w:val="32"/>
          <w:lang w:val="en-US" w:eastAsia="zh-CN"/>
        </w:rPr>
        <w:t>0</w:t>
      </w:r>
      <w:r>
        <w:rPr>
          <w:rFonts w:hint="eastAsia" w:ascii="Times New Roman" w:hAnsi="Times New Roman" w:cs="Times New Roman"/>
          <w:sz w:val="32"/>
          <w:szCs w:val="32"/>
          <w:lang w:val="en-US" w:eastAsia="zh-CN"/>
        </w:rPr>
        <w:t>到</w:t>
      </w:r>
      <w:r>
        <w:rPr>
          <w:rFonts w:hint="eastAsia" w:cs="Times New Roman"/>
          <w:sz w:val="32"/>
          <w:szCs w:val="32"/>
          <w:lang w:val="en-US" w:eastAsia="zh-CN"/>
        </w:rPr>
        <w:t>1</w:t>
      </w:r>
      <w:r>
        <w:rPr>
          <w:rFonts w:hint="eastAsia" w:ascii="Times New Roman" w:hAnsi="Times New Roman" w:cs="Times New Roman"/>
          <w:sz w:val="32"/>
          <w:szCs w:val="32"/>
          <w:lang w:val="en-US" w:eastAsia="zh-CN"/>
        </w:rPr>
        <w:t>的突破。进一步摸清辖区党员底数，对全街4224家企业、34家社会组织、5139家个体工商户党员进行逐个摸排，为未成立党组织的企业、社会组织、个体工商户配备党建指导员，全面提升全街“两个覆盖”水平。</w:t>
      </w:r>
    </w:p>
    <w:p>
      <w:pPr>
        <w:numPr>
          <w:ilvl w:val="0"/>
          <w:numId w:val="2"/>
        </w:numPr>
        <w:spacing w:line="560" w:lineRule="exact"/>
        <w:ind w:firstLine="640" w:firstLineChars="200"/>
        <w:rPr>
          <w:rFonts w:hint="eastAsia"/>
        </w:rPr>
      </w:pPr>
      <w:r>
        <w:rPr>
          <w:rFonts w:hint="eastAsia"/>
          <w:sz w:val="32"/>
          <w:szCs w:val="32"/>
          <w:lang w:val="en-US" w:eastAsia="zh-CN"/>
        </w:rPr>
        <w:t>公共服务项目主要绩效：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highlight w:val="yellow"/>
          <w:lang w:eastAsia="zh-CN"/>
        </w:rPr>
      </w:pPr>
      <w:r>
        <w:rPr>
          <w:rFonts w:hint="eastAsia" w:ascii="Times New Roman" w:hAnsi="Times New Roman" w:cs="Times New Roman"/>
          <w:sz w:val="32"/>
          <w:szCs w:val="32"/>
          <w:lang w:val="en-US" w:eastAsia="zh-CN"/>
        </w:rPr>
        <w:t>全面落实城市特殊困难群体帮扶活动主体责任。</w:t>
      </w:r>
      <w:r>
        <w:rPr>
          <w:rFonts w:hint="default" w:ascii="Times New Roman" w:hAnsi="Times New Roman" w:cs="Times New Roman"/>
          <w:sz w:val="32"/>
          <w:szCs w:val="32"/>
          <w:lang w:val="en-US" w:eastAsia="zh-CN"/>
        </w:rPr>
        <w:t>2021年共帮扶40户，帮扶金额12.8万元。严格按照相关文件要求落实各项社会救助的申报、审核、审批，2021年1-11月实施大病医疗救助96人次，发放救助金43.55万元；临时救助51人次，救助金额12.06万元。不断完善居家养老服务</w:t>
      </w:r>
      <w:r>
        <w:rPr>
          <w:rFonts w:hint="eastAsia" w:ascii="Times New Roman" w:hAnsi="Times New Roman" w:cs="Times New Roman"/>
          <w:sz w:val="32"/>
          <w:szCs w:val="32"/>
          <w:lang w:val="en-US" w:eastAsia="zh-CN"/>
        </w:rPr>
        <w:t>，</w:t>
      </w:r>
      <w:r>
        <w:rPr>
          <w:rFonts w:hint="default" w:ascii="Times New Roman" w:hAnsi="Times New Roman" w:cs="Times New Roman"/>
          <w:sz w:val="32"/>
          <w:szCs w:val="32"/>
          <w:lang w:val="en-US" w:eastAsia="zh-CN"/>
        </w:rPr>
        <w:t>对社区现有的31名特困供养人员进行动态管理，每月逐一核对落实特困供养人员情况并及时向上级主管部门申报或终止服务。目前，街道共有24人享受政府购买居家养老上门服务。有1555名高龄老人，其中100岁以上2人，每季度为高龄老人发放高龄补贴近35万元。全年累计发放残疾人两项补贴93.76万元，配合区残联对辖区符合条件的19名残疾人家庭子女开展助学活动，发放残疾人辅具器具100件，并为符合条件的残疾人申请家庭无障碍改造、居家托养及康复系列活动。严格把关低保审核，加强动态管理，及时掌握保障对象动态情况，把好低保对象“进、调、退”关，做好低保政策法规宣传。2021年11月，我街对7-11月在册低保户327户进行年审，提标户19户，降标户13户，取消34户，全年1-12月累计发放低保金308.63万元，全街道低保保障标准为人均560.86元。持续做好住房保障惠民生工作。截至11月底共受理新增人员27户，其中公租房14户，租赁补贴13户；开具房屋证明、户籍证明32套；对住房租赁补贴在保人员进行每季度认证，截至第四季度末租赁补贴在保55户，发放补贴36.85万元；做好惠民惠农资金一卡通基础信息录入工作；做好街道困难人群收入认定工作</w:t>
      </w:r>
      <w:r>
        <w:rPr>
          <w:rFonts w:hint="eastAsia" w:ascii="Times New Roman" w:hAnsi="Times New Roman" w:cs="Times New Roman"/>
          <w:sz w:val="32"/>
          <w:szCs w:val="32"/>
          <w:lang w:val="en-US" w:eastAsia="zh-CN"/>
        </w:rPr>
        <w:t>，</w:t>
      </w:r>
      <w:r>
        <w:rPr>
          <w:rFonts w:hint="default" w:ascii="Times New Roman" w:hAnsi="Times New Roman" w:cs="Times New Roman"/>
          <w:sz w:val="32"/>
          <w:szCs w:val="32"/>
          <w:lang w:val="en-US" w:eastAsia="zh-CN"/>
        </w:rPr>
        <w:t>开具收入证明36份。全力支持大众创新创业。着重做好失业人员再就业工作，积极组织183名失业人员参加创业培训和职业技能培训；为33家企业发布招聘岗位172个；为271名登记失业人员办理失业登记，其中163人进行困难认定;城镇新增就业人数628人</w:t>
      </w:r>
      <w:r>
        <w:rPr>
          <w:rFonts w:hint="eastAsia" w:ascii="Times New Roman" w:hAnsi="Times New Roman" w:cs="Times New Roman"/>
          <w:sz w:val="32"/>
          <w:szCs w:val="32"/>
          <w:lang w:val="en-US" w:eastAsia="zh-CN"/>
        </w:rPr>
        <w:t>，</w:t>
      </w:r>
      <w:r>
        <w:rPr>
          <w:rFonts w:hint="default" w:ascii="Times New Roman" w:hAnsi="Times New Roman" w:cs="Times New Roman"/>
          <w:sz w:val="32"/>
          <w:szCs w:val="32"/>
          <w:lang w:val="en-US" w:eastAsia="zh-CN"/>
        </w:rPr>
        <w:t>失业人员再就业人员1034人，困难人员再就业301人</w:t>
      </w:r>
      <w:r>
        <w:rPr>
          <w:rFonts w:hint="eastAsia" w:ascii="Times New Roman" w:hAnsi="Times New Roman" w:cs="Times New Roman"/>
          <w:sz w:val="32"/>
          <w:szCs w:val="32"/>
          <w:lang w:val="en-US" w:eastAsia="zh-CN"/>
        </w:rPr>
        <w:t>，</w:t>
      </w:r>
      <w:r>
        <w:rPr>
          <w:rFonts w:hint="default" w:ascii="Times New Roman" w:hAnsi="Times New Roman" w:cs="Times New Roman"/>
          <w:sz w:val="32"/>
          <w:szCs w:val="32"/>
          <w:lang w:val="en-US" w:eastAsia="zh-CN"/>
        </w:rPr>
        <w:t>均超额完成全年任务。</w:t>
      </w:r>
      <w:r>
        <w:rPr>
          <w:rFonts w:hint="eastAsia" w:ascii="Times New Roman" w:hAnsi="Times New Roman" w:cs="Times New Roman"/>
          <w:sz w:val="32"/>
          <w:szCs w:val="32"/>
          <w:lang w:val="en-US" w:eastAsia="zh-CN"/>
        </w:rPr>
        <w:t>全街今年核酸检测3.08万人。其中：①中风险岗位从业人员核酸检测2.16万人，保证了中风险岗位人员每月一次的核酸检测；②重点场所人员核酸检测0.92万人。截止11月30日，①我街12周岁以上人群</w:t>
      </w:r>
      <w:r>
        <w:rPr>
          <w:rFonts w:hint="eastAsia" w:cs="Times New Roman"/>
          <w:sz w:val="32"/>
          <w:szCs w:val="32"/>
          <w:lang w:val="en-US" w:eastAsia="zh-CN"/>
        </w:rPr>
        <w:t>新冠肺炎疫苗</w:t>
      </w:r>
      <w:r>
        <w:rPr>
          <w:rFonts w:hint="eastAsia" w:ascii="Times New Roman" w:hAnsi="Times New Roman" w:cs="Times New Roman"/>
          <w:sz w:val="32"/>
          <w:szCs w:val="32"/>
          <w:lang w:val="en-US" w:eastAsia="zh-CN"/>
        </w:rPr>
        <w:t>第一剂累计接种人数46488人，完成全程接种人数41921人，完成全程接种率为90.18%；②加强免疫针累计接种1233剂次，加强免疫覆盖率为46.81%；③11月11日，组织辖区内四个小学在浏阳河小学开展3—11周岁人群第一剂新冠疫苗接种，本次共计接种1825人，为辖区群众的生命健康筑牢安全屏障。以上接种人群均无严重异常反应发生。今年1月25日正式启用</w:t>
      </w:r>
      <w:r>
        <w:rPr>
          <w:rFonts w:hint="eastAsia" w:cs="Times New Roman"/>
          <w:sz w:val="32"/>
          <w:szCs w:val="32"/>
          <w:lang w:val="en-US" w:eastAsia="zh-CN"/>
        </w:rPr>
        <w:t>汇聚</w:t>
      </w:r>
      <w:r>
        <w:rPr>
          <w:rFonts w:hint="eastAsia" w:ascii="Times New Roman" w:hAnsi="Times New Roman" w:cs="Times New Roman"/>
          <w:sz w:val="32"/>
          <w:szCs w:val="32"/>
          <w:lang w:val="en-US" w:eastAsia="zh-CN"/>
        </w:rPr>
        <w:t>酒店为隔离点以来至11月19日，已累计隔离入境人员、高风险地区人员2000多人，圆满完成肯罗毕两趟包机46人的接待任务。今年共办理一孩生育服务登记证190本，办理二孩生育服务登记证91本，办理三孩生育服务登记证2本，及时办结率100%。</w:t>
      </w:r>
    </w:p>
    <w:p>
      <w:pPr>
        <w:spacing w:line="560" w:lineRule="exact"/>
        <w:ind w:firstLine="640" w:firstLineChars="200"/>
        <w:rPr>
          <w:rFonts w:hint="eastAsia" w:eastAsia="黑体"/>
          <w:sz w:val="32"/>
          <w:szCs w:val="32"/>
          <w:lang w:eastAsia="zh-CN"/>
        </w:rPr>
      </w:pPr>
      <w:r>
        <w:rPr>
          <w:rFonts w:hint="eastAsia" w:eastAsia="黑体"/>
          <w:sz w:val="32"/>
          <w:szCs w:val="32"/>
          <w:lang w:eastAsia="zh-CN"/>
        </w:rPr>
        <w:t>三</w:t>
      </w:r>
      <w:r>
        <w:rPr>
          <w:rFonts w:eastAsia="黑体"/>
          <w:sz w:val="32"/>
          <w:szCs w:val="32"/>
        </w:rPr>
        <w:t>、存在问题</w:t>
      </w:r>
      <w:r>
        <w:rPr>
          <w:rFonts w:hint="eastAsia" w:eastAsia="黑体"/>
          <w:sz w:val="32"/>
          <w:szCs w:val="32"/>
          <w:lang w:eastAsia="zh-CN"/>
        </w:rPr>
        <w:t>和改进措施</w:t>
      </w:r>
    </w:p>
    <w:p>
      <w:pPr>
        <w:spacing w:line="560" w:lineRule="exact"/>
        <w:ind w:firstLine="640" w:firstLineChars="200"/>
        <w:rPr>
          <w:rFonts w:hint="eastAsia" w:ascii="Times New Roman" w:hAnsi="Times New Roman" w:cs="Times New Roman"/>
          <w:sz w:val="32"/>
          <w:szCs w:val="32"/>
          <w:lang w:val="en-US" w:eastAsia="zh-CN"/>
        </w:rPr>
      </w:pPr>
      <w:r>
        <w:rPr>
          <w:rFonts w:hint="eastAsia" w:ascii="仿宋" w:eastAsia="仿宋" w:cs="仿宋"/>
          <w:sz w:val="32"/>
          <w:szCs w:val="32"/>
          <w:lang w:val="en-US" w:eastAsia="zh-CN"/>
        </w:rPr>
        <w:t>（一）存在问题：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sz w:val="32"/>
          <w:szCs w:val="32"/>
          <w:lang w:val="en-US" w:eastAsia="zh-CN"/>
        </w:rPr>
      </w:pPr>
      <w:r>
        <w:rPr>
          <w:rFonts w:hint="eastAsia" w:ascii="仿宋" w:eastAsia="仿宋" w:cs="仿宋"/>
          <w:sz w:val="32"/>
          <w:szCs w:val="32"/>
          <w:lang w:val="en-US" w:eastAsia="zh-CN"/>
        </w:rPr>
        <w:t>主要存在实际开支时项目资金高于预算的问题。</w:t>
      </w:r>
      <w:r>
        <w:rPr>
          <w:rFonts w:hint="eastAsia" w:ascii="Times New Roman" w:hAnsi="Times New Roman" w:cs="Times New Roman"/>
          <w:sz w:val="32"/>
          <w:szCs w:val="32"/>
          <w:lang w:val="en-US" w:eastAsia="zh-CN"/>
        </w:rPr>
        <w:t>社会管理项目支出年初预算数与年终决算数相差196.14万元，主要原因是年初预算是根据街道体制控制来编</w:t>
      </w:r>
      <w:bookmarkStart w:id="0" w:name="_GoBack"/>
      <w:bookmarkEnd w:id="0"/>
      <w:r>
        <w:rPr>
          <w:rFonts w:hint="eastAsia" w:ascii="Times New Roman" w:hAnsi="Times New Roman" w:cs="Times New Roman"/>
          <w:sz w:val="32"/>
          <w:szCs w:val="32"/>
          <w:lang w:val="en-US" w:eastAsia="zh-CN"/>
        </w:rPr>
        <w:t>制，重点保障常规项目支出及基本运转，未能全面预计当年收支情况，预算数未与街道实际项目支出相匹配</w:t>
      </w:r>
      <w:r>
        <w:rPr>
          <w:rFonts w:hint="eastAsia" w:cs="Times New Roman"/>
          <w:sz w:val="32"/>
          <w:szCs w:val="32"/>
          <w:lang w:val="en-US" w:eastAsia="zh-CN"/>
        </w:rPr>
        <w:t>。</w:t>
      </w:r>
      <w:r>
        <w:rPr>
          <w:rFonts w:hint="eastAsia" w:ascii="Times New Roman" w:hAnsi="Times New Roman" w:cs="Times New Roman"/>
          <w:sz w:val="32"/>
          <w:szCs w:val="32"/>
          <w:lang w:val="en-US" w:eastAsia="zh-CN"/>
        </w:rPr>
        <w:t>而决算</w:t>
      </w:r>
      <w:r>
        <w:rPr>
          <w:rFonts w:hint="eastAsia" w:cs="Times New Roman"/>
          <w:sz w:val="32"/>
          <w:szCs w:val="32"/>
          <w:lang w:val="en-US" w:eastAsia="zh-CN"/>
        </w:rPr>
        <w:t>数</w:t>
      </w:r>
      <w:r>
        <w:rPr>
          <w:rFonts w:hint="eastAsia" w:ascii="Times New Roman" w:hAnsi="Times New Roman" w:cs="Times New Roman"/>
          <w:sz w:val="32"/>
          <w:szCs w:val="32"/>
          <w:lang w:val="en-US" w:eastAsia="zh-CN"/>
        </w:rPr>
        <w:t>是</w:t>
      </w:r>
      <w:r>
        <w:rPr>
          <w:rFonts w:hint="eastAsia" w:cs="Times New Roman"/>
          <w:sz w:val="32"/>
          <w:szCs w:val="32"/>
          <w:lang w:val="en-US" w:eastAsia="zh-CN"/>
        </w:rPr>
        <w:t>根据</w:t>
      </w:r>
      <w:r>
        <w:rPr>
          <w:rFonts w:hint="eastAsia" w:ascii="Times New Roman" w:hAnsi="Times New Roman" w:cs="Times New Roman"/>
          <w:sz w:val="32"/>
          <w:szCs w:val="32"/>
          <w:lang w:val="en-US" w:eastAsia="zh-CN"/>
        </w:rPr>
        <w:t>当年实际项目</w:t>
      </w:r>
      <w:r>
        <w:rPr>
          <w:rFonts w:hint="eastAsia" w:cs="Times New Roman"/>
          <w:sz w:val="32"/>
          <w:szCs w:val="32"/>
          <w:lang w:val="en-US" w:eastAsia="zh-CN"/>
        </w:rPr>
        <w:t>收支数核算</w:t>
      </w:r>
      <w:r>
        <w:rPr>
          <w:rFonts w:hint="eastAsia" w:ascii="Times New Roman" w:hAnsi="Times New Roman" w:cs="Times New Roman"/>
          <w:sz w:val="32"/>
          <w:szCs w:val="32"/>
          <w:lang w:val="en-US" w:eastAsia="zh-CN"/>
        </w:rPr>
        <w:t>，包含</w:t>
      </w:r>
      <w:r>
        <w:rPr>
          <w:rFonts w:hint="eastAsia" w:cs="Times New Roman"/>
          <w:sz w:val="32"/>
          <w:szCs w:val="32"/>
          <w:lang w:val="en-US" w:eastAsia="zh-CN"/>
        </w:rPr>
        <w:t>上级部门追加</w:t>
      </w:r>
      <w:r>
        <w:rPr>
          <w:rFonts w:hint="eastAsia" w:ascii="Times New Roman" w:hAnsi="Times New Roman" w:cs="Times New Roman"/>
          <w:sz w:val="32"/>
          <w:szCs w:val="32"/>
          <w:lang w:val="en-US" w:eastAsia="zh-CN"/>
        </w:rPr>
        <w:t>项目预算及专项拨款，</w:t>
      </w:r>
      <w:r>
        <w:rPr>
          <w:rFonts w:hint="eastAsia" w:cs="Times New Roman"/>
          <w:sz w:val="32"/>
          <w:szCs w:val="32"/>
          <w:lang w:val="en-US" w:eastAsia="zh-CN"/>
        </w:rPr>
        <w:t>街道项目支出同步增加，</w:t>
      </w:r>
      <w:r>
        <w:rPr>
          <w:rFonts w:hint="eastAsia" w:ascii="Times New Roman" w:hAnsi="Times New Roman" w:cs="Times New Roman"/>
          <w:sz w:val="32"/>
          <w:szCs w:val="32"/>
          <w:lang w:val="en-US" w:eastAsia="zh-CN"/>
        </w:rPr>
        <w:t xml:space="preserve">因此与年初预算数有较大差异。 </w:t>
      </w:r>
    </w:p>
    <w:p>
      <w:pPr>
        <w:spacing w:line="560" w:lineRule="exact"/>
        <w:ind w:firstLine="640" w:firstLineChars="200"/>
        <w:rPr>
          <w:rFonts w:hint="eastAsia" w:ascii="仿宋" w:eastAsia="仿宋" w:cs="仿宋"/>
          <w:sz w:val="32"/>
          <w:szCs w:val="32"/>
          <w:lang w:val="en-US" w:eastAsia="zh-CN"/>
        </w:rPr>
      </w:pPr>
      <w:r>
        <w:rPr>
          <w:rFonts w:hint="eastAsia" w:ascii="仿宋" w:eastAsia="仿宋" w:cs="仿宋"/>
          <w:sz w:val="32"/>
          <w:szCs w:val="32"/>
          <w:lang w:val="en-US" w:eastAsia="zh-CN"/>
        </w:rPr>
        <w:t>（二）改进措施：</w:t>
      </w:r>
    </w:p>
    <w:p>
      <w:pPr>
        <w:spacing w:line="560" w:lineRule="exact"/>
        <w:ind w:firstLine="640" w:firstLineChars="200"/>
        <w:rPr>
          <w:rFonts w:hint="eastAsia" w:ascii="仿宋" w:eastAsia="仿宋" w:cs="仿宋"/>
          <w:sz w:val="32"/>
          <w:szCs w:val="32"/>
          <w:lang w:val="en-US" w:eastAsia="zh-CN"/>
        </w:rPr>
      </w:pPr>
      <w:r>
        <w:rPr>
          <w:rFonts w:hint="eastAsia" w:ascii="仿宋" w:eastAsia="仿宋" w:cs="仿宋"/>
          <w:sz w:val="32"/>
          <w:szCs w:val="32"/>
          <w:lang w:eastAsia="zh-CN"/>
        </w:rPr>
        <w:t>本单位</w:t>
      </w:r>
      <w:r>
        <w:rPr>
          <w:rFonts w:hint="eastAsia" w:ascii="仿宋" w:eastAsia="仿宋" w:cs="仿宋"/>
          <w:sz w:val="32"/>
          <w:szCs w:val="32"/>
          <w:lang w:val="en-US" w:eastAsia="zh-CN"/>
        </w:rPr>
        <w:t>会继续积极参加各类培训，提高对绩效评价工作重要性的认识，坚决树立绩效管理理念；使项目编制更加符合绩效评价相关要求；同时进一步提高绩效评价工作方式、方法，将已完成的所有工作绩效成果充分体现出来。</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Times New Roman" w:hAnsi="Times New Roman" w:eastAsia="仿宋_GB2312" w:cs="Times New Roman"/>
          <w:sz w:val="32"/>
          <w:szCs w:val="32"/>
          <w:lang w:val="en-US"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 w:name="方正小标宋简体">
    <w:altName w:val="Times New Roman"/>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jc w:val="right"/>
      <w:rPr>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wordWrap w:val="0"/>
                            <w:jc w:val="right"/>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20</w:t>
                          </w:r>
                          <w:r>
                            <w:rPr>
                              <w:sz w:val="28"/>
                              <w:szCs w:val="28"/>
                            </w:rPr>
                            <w:fldChar w:fldCharType="end"/>
                          </w:r>
                          <w:r>
                            <w:rPr>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5"/>
                      <w:wordWrap w:val="0"/>
                      <w:jc w:val="right"/>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20</w:t>
                    </w:r>
                    <w:r>
                      <w:rPr>
                        <w:sz w:val="28"/>
                        <w:szCs w:val="28"/>
                      </w:rPr>
                      <w:fldChar w:fldCharType="end"/>
                    </w:r>
                    <w:r>
                      <w:rPr>
                        <w:sz w:val="28"/>
                        <w:szCs w:val="28"/>
                      </w:rPr>
                      <w:t xml:space="preserve"> —</w:t>
                    </w:r>
                  </w:p>
                </w:txbxContent>
              </v:textbox>
            </v:shape>
          </w:pict>
        </mc:Fallback>
      </mc:AlternateContent>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2BA3284"/>
    <w:multiLevelType w:val="singleLevel"/>
    <w:tmpl w:val="F2BA3284"/>
    <w:lvl w:ilvl="0" w:tentative="0">
      <w:start w:val="2"/>
      <w:numFmt w:val="decimal"/>
      <w:suff w:val="nothing"/>
      <w:lvlText w:val="%1、"/>
      <w:lvlJc w:val="left"/>
    </w:lvl>
  </w:abstractNum>
  <w:abstractNum w:abstractNumId="1">
    <w:nsid w:val="027023D5"/>
    <w:multiLevelType w:val="singleLevel"/>
    <w:tmpl w:val="027023D5"/>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1A5EAD"/>
    <w:rsid w:val="008953F8"/>
    <w:rsid w:val="00CF5500"/>
    <w:rsid w:val="02A1111E"/>
    <w:rsid w:val="03443858"/>
    <w:rsid w:val="034D36CA"/>
    <w:rsid w:val="05B20F4D"/>
    <w:rsid w:val="0E715E49"/>
    <w:rsid w:val="0EA63619"/>
    <w:rsid w:val="12527D3F"/>
    <w:rsid w:val="14DB04C0"/>
    <w:rsid w:val="157B75AD"/>
    <w:rsid w:val="1621268B"/>
    <w:rsid w:val="16F953A7"/>
    <w:rsid w:val="1726179A"/>
    <w:rsid w:val="17591F31"/>
    <w:rsid w:val="1A497C7A"/>
    <w:rsid w:val="1A6B5E42"/>
    <w:rsid w:val="1D7274E7"/>
    <w:rsid w:val="270C4509"/>
    <w:rsid w:val="27111B1F"/>
    <w:rsid w:val="2AC1560A"/>
    <w:rsid w:val="2CAB6572"/>
    <w:rsid w:val="2D1265F1"/>
    <w:rsid w:val="2D1A5EAD"/>
    <w:rsid w:val="2EA15E7F"/>
    <w:rsid w:val="315C0727"/>
    <w:rsid w:val="31B23EFF"/>
    <w:rsid w:val="32193733"/>
    <w:rsid w:val="322C3CB1"/>
    <w:rsid w:val="325B1CE3"/>
    <w:rsid w:val="33482D6D"/>
    <w:rsid w:val="34525525"/>
    <w:rsid w:val="36140CE4"/>
    <w:rsid w:val="39D709A6"/>
    <w:rsid w:val="3C28373B"/>
    <w:rsid w:val="3D9F7A2D"/>
    <w:rsid w:val="3DDF7E2A"/>
    <w:rsid w:val="3EF67B21"/>
    <w:rsid w:val="43DD7E64"/>
    <w:rsid w:val="454A2974"/>
    <w:rsid w:val="46780E1B"/>
    <w:rsid w:val="496B2EB9"/>
    <w:rsid w:val="543F741C"/>
    <w:rsid w:val="54DA50B6"/>
    <w:rsid w:val="59B14918"/>
    <w:rsid w:val="5CDE7FFF"/>
    <w:rsid w:val="60107EBF"/>
    <w:rsid w:val="61E17D65"/>
    <w:rsid w:val="628A7090"/>
    <w:rsid w:val="651B17E0"/>
    <w:rsid w:val="672F3320"/>
    <w:rsid w:val="67B579AA"/>
    <w:rsid w:val="68A166DE"/>
    <w:rsid w:val="6B1B7E43"/>
    <w:rsid w:val="6BB32772"/>
    <w:rsid w:val="6F0D2199"/>
    <w:rsid w:val="6F63625D"/>
    <w:rsid w:val="704D1A19"/>
    <w:rsid w:val="73612AB3"/>
    <w:rsid w:val="73BE4764"/>
    <w:rsid w:val="7418787F"/>
    <w:rsid w:val="7EBE700C"/>
    <w:rsid w:val="7F3B24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28"/>
      <w:lang w:val="en-US" w:eastAsia="zh-CN" w:bidi="ar-SA"/>
    </w:rPr>
  </w:style>
  <w:style w:type="character" w:default="1" w:styleId="8">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customStyle="1" w:styleId="2">
    <w:name w:val="BodyText1I"/>
    <w:basedOn w:val="3"/>
    <w:qFormat/>
    <w:uiPriority w:val="0"/>
    <w:pPr>
      <w:spacing w:after="120"/>
      <w:ind w:firstLine="420" w:firstLineChars="100"/>
      <w:jc w:val="both"/>
      <w:textAlignment w:val="baseline"/>
    </w:pPr>
    <w:rPr>
      <w:szCs w:val="24"/>
    </w:rPr>
  </w:style>
  <w:style w:type="paragraph" w:customStyle="1" w:styleId="3">
    <w:name w:val="BodyText"/>
    <w:basedOn w:val="1"/>
    <w:next w:val="2"/>
    <w:qFormat/>
    <w:uiPriority w:val="0"/>
    <w:pPr>
      <w:spacing w:after="120"/>
      <w:jc w:val="both"/>
      <w:textAlignment w:val="baseline"/>
    </w:pPr>
  </w:style>
  <w:style w:type="paragraph" w:styleId="4">
    <w:name w:val="Body Text"/>
    <w:basedOn w:val="1"/>
    <w:qFormat/>
    <w:uiPriority w:val="99"/>
    <w:pPr>
      <w:spacing w:after="120"/>
    </w:p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Autospacing="1" w:afterAutospacing="1"/>
      <w:jc w:val="left"/>
    </w:pPr>
    <w:rPr>
      <w:rFonts w:ascii="宋体" w:hAnsi="宋体"/>
      <w:kern w:val="0"/>
      <w:sz w:val="24"/>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2022-03-16T01:25:00Z</dcterms:created>
  <dc:creator>圆规</dc:creator>
  <cp:lastModifiedBy>Administrator</cp:lastModifiedBy>
  <dcterms:modified xsi:type="dcterms:W3CDTF">2022-09-13T06:41:34Z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y fmtid="{D5CDD505-2E9C-101B-9397-08002B2CF9AE}" pid="3" name="ICV">
    <vt:lpwstr>D29B99ADF18F46BFB83009BE8CB6A1BF</vt:lpwstr>
  </property>
</Properties>
</file>