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color w:val="000000" w:themeColor="text1"/>
          <w:kern w:val="0"/>
          <w:sz w:val="48"/>
          <w:szCs w:val="48"/>
          <w14:textFill>
            <w14:solidFill>
              <w14:schemeClr w14:val="tx1"/>
            </w14:solidFill>
          </w14:textFill>
        </w:rPr>
      </w:pPr>
      <w:bookmarkStart w:id="0" w:name="_Hlk107649868"/>
      <w:r>
        <w:rPr>
          <w:rFonts w:hint="eastAsia" w:ascii="仿宋" w:hAnsi="仿宋" w:eastAsia="仿宋" w:cs="仿宋"/>
          <w:b/>
          <w:bCs/>
          <w:color w:val="000000" w:themeColor="text1"/>
          <w:kern w:val="0"/>
          <w:sz w:val="48"/>
          <w:szCs w:val="48"/>
          <w14:textFill>
            <w14:solidFill>
              <w14:schemeClr w14:val="tx1"/>
            </w14:solidFill>
          </w14:textFill>
        </w:rPr>
        <w:t>2021年长沙市开福区四方坪街道办事处部门预算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000000" w:themeColor="text1"/>
          <w:kern w:val="0"/>
          <w:sz w:val="48"/>
          <w:szCs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000000" w:themeColor="text1"/>
          <w:kern w:val="0"/>
          <w:sz w:val="36"/>
          <w:szCs w:val="36"/>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（一）职能职责。</w:t>
      </w:r>
      <w:bookmarkEnd w:id="0"/>
      <w:r>
        <w:rPr>
          <w:rFonts w:hint="eastAsia" w:ascii="仿宋" w:hAnsi="仿宋" w:eastAsia="仿宋" w:cs="仿宋"/>
          <w:color w:val="000000" w:themeColor="text1"/>
          <w:sz w:val="32"/>
          <w:szCs w:val="32"/>
          <w14:textFill>
            <w14:solidFill>
              <w14:schemeClr w14:val="tx1"/>
            </w14:solidFill>
          </w14:textFill>
        </w:rPr>
        <w:t>四方坪街道办事处作为区人民政府的派出机构，行使行政管理职能。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1、在街道党工委的统一领导下，行使区人民政府赋予的权力，负责本辖区的行政管理工作。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2、宣传和执行党的路线、方针、政策和国家的法律、法规，开展多种形式的社会主义精神文明建设活动。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3、依法参与城区建设和管理、市容环境卫生管理、绿化美化、环境保护、城市防灾等工作。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4、加强社会治安综合治理，做好外来人口管理、青少年教育和武装工作，维护社会安定团结。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5、积极发展社区服务业，发展多元性的街道经济，不断壮大街道经济实力。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6、落实人口计划指标，加强流动人口的计生管理工作，搞好计划生育工作。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7、做好社区教育、文化、体育活动的组织指导、协调工作。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8、做好拥军优属和社会救济等基层社会保障工作，维护老人、妇女、儿童和残疾人的合法权益。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9、协助做好侨台事务、离退休人员管理等工作。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10、指导社区居委会工作，扶持居办经济实体，帮助社区居委会解决实际困难，及时向政府反映居民的意见和要求，处理群众来信来访。</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11、承办上级交办的其它工作。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1" w:name="_Hlk107645654"/>
      <w:r>
        <w:rPr>
          <w:rFonts w:hint="eastAsia" w:ascii="仿宋" w:hAnsi="仿宋" w:eastAsia="仿宋" w:cs="仿宋"/>
          <w:b/>
          <w:color w:val="000000" w:themeColor="text1"/>
          <w:sz w:val="32"/>
          <w:szCs w:val="32"/>
          <w14:textFill>
            <w14:solidFill>
              <w14:schemeClr w14:val="tx1"/>
            </w14:solidFill>
          </w14:textFill>
        </w:rPr>
        <w:t>（二）机构设置。</w:t>
      </w:r>
      <w:bookmarkEnd w:id="1"/>
      <w:r>
        <w:rPr>
          <w:rFonts w:hint="eastAsia" w:ascii="仿宋" w:hAnsi="仿宋" w:eastAsia="仿宋" w:cs="仿宋"/>
          <w:color w:val="000000" w:themeColor="text1"/>
          <w:sz w:val="32"/>
          <w:szCs w:val="32"/>
          <w14:textFill>
            <w14:solidFill>
              <w14:schemeClr w14:val="tx1"/>
            </w14:solidFill>
          </w14:textFill>
        </w:rPr>
        <w:t>1、部门设置：四方坪街道由1个行政单位和3个事业单位组成。行政单位包括5个内设机构：党政综合办公室、基层党建办公室、城市管理办公室、公共服务办公室、公共安全办公室。3个事业单位有：政务服务中心、网格化综合服务中心、退役军人服务站3个公益一类事业单位。根据街道新的职能定位和“优化、协同、高效”原则，统筹优化街道机构设置、职责分工、人员配置，构建服务便民、简约精干的组织架构。设置纪检监察、人大工委、人民武装等机构和工会、妇联、共青团等组织，并明确党政领导分管；保留财政所、两保站；保留先福遗留办、胜利遗留办、福安水利管理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（1）行政单位包括5个内设机构：党政综合办公室、基层党建办公室、城市管理办公室、公共服务办公室、公共安全办公室。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政综合办公室：负责街道机关党务和行政事务工作；负责机关文电、机要、保密、信息、会务、档案、督查督办、党务政务公开、后勤保障等工作；负责重大工作重要事项的综合协调和重要文稿的起草审核；负责老干、关协、妇联等工作；负责“12345”热线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基层党建办公室：负责基层党的建设、宣传思想、意识形态、网络安全、统一战线、民族宗教工作；负责组织协调辖区内群团、机关总支开展工作；负责教育、旅游、文化、体育、共青团工作；牵头负责机关干部队伍建设和社区工作人员的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科技等工作。负责爱卫、红十字会、卫生健康等工作；负责政协联络工作；负责退役军人服务、再就业安置、优抚、思想稳控等工作；牵头开展精神文明建设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消防、安全生产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（2）设置3个街道所属事业单位：政务服务中心、网格化综合服务中心、退役军人服务站。 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政务服务中心：负责与群众、驻区单位相关政务服务事项的办理；负责劳动保障和最低生活保障等工作；负责加强政务服务大厅建设，充分发挥综合便民服务作用，进一步拓展服务党组织和党员群众的功能。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网格化综合服务中心：负责承担网格化综合管理，负责线上、线下的巡查、指挥、调度和督办等工作，负责为各个平台运转提供技术支撑。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退役军人服务站：协助做好退役军人组织关系、行政关系、供给关系转接和档案移交、推动退役军人流动党员纳入党的基层组织，配合组织部门指导基层党组织做好教育管理；协助做好退役军人来信来访、接待办理、心理疏导、权益咨询、政策解答、法律服务以及涉及退役军人舆情的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2、人员情况：部门编制数50人，在职人数61人，其中：在岗人数5</w:t>
      </w:r>
      <w:bookmarkStart w:id="16" w:name="_GoBack"/>
      <w:bookmarkEnd w:id="16"/>
      <w:r>
        <w:rPr>
          <w:rFonts w:hint="eastAsia" w:ascii="仿宋" w:hAnsi="仿宋" w:eastAsia="仿宋" w:cs="仿宋"/>
          <w:color w:val="000000" w:themeColor="text1"/>
          <w:sz w:val="32"/>
          <w:szCs w:val="32"/>
          <w14:textFill>
            <w14:solidFill>
              <w14:schemeClr w14:val="tx1"/>
            </w14:solidFill>
          </w14:textFill>
        </w:rPr>
        <w:t>1人；编外长期聘用人员10人；离退休人数4</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人，其中离休人员0人，退休人员4</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人。全部纳入2021年部门预算范围。</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000000" w:themeColor="text1"/>
          <w:kern w:val="0"/>
          <w:sz w:val="32"/>
          <w:szCs w:val="32"/>
          <w14:textFill>
            <w14:solidFill>
              <w14:schemeClr w14:val="tx1"/>
            </w14:solidFill>
          </w14:textFill>
        </w:rPr>
      </w:pPr>
      <w:bookmarkStart w:id="2" w:name="_Hlk107645678"/>
      <w:r>
        <w:rPr>
          <w:rFonts w:eastAsia="黑体"/>
          <w:color w:val="000000" w:themeColor="text1"/>
          <w:kern w:val="0"/>
          <w:sz w:val="32"/>
          <w:szCs w:val="32"/>
          <w14:textFill>
            <w14:solidFill>
              <w14:schemeClr w14:val="tx1"/>
            </w14:solidFill>
          </w14:textFill>
        </w:rPr>
        <w:t>二、部门预算单位构成</w:t>
      </w:r>
    </w:p>
    <w:bookmarkEnd w:id="2"/>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四方坪街道只有本级，没有其他预算单位，因此本部门预算仅含本级预算。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000000" w:themeColor="text1"/>
          <w:kern w:val="0"/>
          <w:sz w:val="32"/>
          <w:szCs w:val="32"/>
          <w14:textFill>
            <w14:solidFill>
              <w14:schemeClr w14:val="tx1"/>
            </w14:solidFill>
          </w14:textFill>
        </w:rPr>
      </w:pPr>
      <w:bookmarkStart w:id="3" w:name="_Hlk107645687"/>
      <w:r>
        <w:rPr>
          <w:rFonts w:hint="eastAsia" w:eastAsia="黑体"/>
          <w:bCs/>
          <w:color w:val="000000" w:themeColor="text1"/>
          <w:kern w:val="0"/>
          <w:sz w:val="32"/>
          <w:szCs w:val="32"/>
          <w14:textFill>
            <w14:solidFill>
              <w14:schemeClr w14:val="tx1"/>
            </w14:solidFill>
          </w14:textFill>
        </w:rPr>
        <w:t>三、</w:t>
      </w:r>
      <w:r>
        <w:rPr>
          <w:rFonts w:eastAsia="黑体"/>
          <w:bCs/>
          <w:color w:val="000000" w:themeColor="text1"/>
          <w:kern w:val="0"/>
          <w:sz w:val="32"/>
          <w:szCs w:val="32"/>
          <w14:textFill>
            <w14:solidFill>
              <w14:schemeClr w14:val="tx1"/>
            </w14:solidFill>
          </w14:textFill>
        </w:rPr>
        <w:t>部门收支总体情况</w:t>
      </w:r>
    </w:p>
    <w:bookmarkEnd w:id="3"/>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4" w:name="_Hlk107645704"/>
      <w:r>
        <w:rPr>
          <w:rFonts w:hint="eastAsia" w:ascii="仿宋" w:hAnsi="仿宋" w:eastAsia="仿宋" w:cs="仿宋"/>
          <w:b/>
          <w:color w:val="000000" w:themeColor="text1"/>
          <w:sz w:val="32"/>
          <w:szCs w:val="32"/>
          <w14:textFill>
            <w14:solidFill>
              <w14:schemeClr w14:val="tx1"/>
            </w14:solidFill>
          </w14:textFill>
        </w:rPr>
        <w:t>（一）收入预算：</w:t>
      </w:r>
      <w:bookmarkEnd w:id="4"/>
      <w:r>
        <w:rPr>
          <w:rFonts w:hint="eastAsia" w:ascii="仿宋" w:hAnsi="仿宋" w:eastAsia="仿宋" w:cs="仿宋"/>
          <w:color w:val="000000" w:themeColor="text1"/>
          <w:sz w:val="32"/>
          <w:szCs w:val="32"/>
          <w14:textFill>
            <w14:solidFill>
              <w14:schemeClr w14:val="tx1"/>
            </w14:solidFill>
          </w14:textFill>
        </w:rPr>
        <w:t>包括一般公共预算收入、政府性基金、国有资本经营预算等财政拨款收入，以及经营收入、事业收入等单位资金。2021年本部门收入预算4146.83万元，其中，一般公共预算拨款2997.83万元，占72.3%，其他收入1149万元，占27.7%，政府性基金预算拨款0万元，国有资本经营预算拨款0万元，纳入专户管理的非税收入0万元，无上年结转。收入较去年增加120.22万元，上升2.99%，主要是虽然本单位严格执行厉行节约的要求，充分控制预算，受疫情的影响，在有限的财力下，进一步压减项目支出，但因单位人数变动及单位事权调整，预算跟随调整，确保能充分做到保工资、保运转、保基本民生，坚决保障基层政府实施公共管理、提供基本公共服务以及落实党中央、国务院各项民生政策的基本财力需要。以支定收，故而收入预算相应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支出预算：2021年本部门支出预算4146.83万元，其中，一般公共服务支出3701.51万元，占89.3%；社会保障和就业支出328.2万元，占7.9%，住房保障支出117.12万元，占2.8%。支出预算较去年增加120.22万元，上升2.99%，主要是虽然本单位严格执行厉行节约的要求，充分控制预算，受疫情的影响，在有限的财力下，进一步压减项目支出，但因单位人数变动及单位事权调整，预算跟随调整，确保能充分做到保工资、保运转、保基本民生，坚决保障基层政府实施公共管理、提供基本公共服务以及落实党中央、国务院各项民生政策的基本财力需要。</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bookmarkStart w:id="5" w:name="_Hlk107646141"/>
      <w:r>
        <w:rPr>
          <w:rFonts w:eastAsia="黑体"/>
          <w:color w:val="000000" w:themeColor="text1"/>
          <w:sz w:val="32"/>
          <w:szCs w:val="32"/>
          <w14:textFill>
            <w14:solidFill>
              <w14:schemeClr w14:val="tx1"/>
            </w14:solidFill>
          </w14:textFill>
        </w:rPr>
        <w:t>四、一般公共预算拨款支出</w:t>
      </w:r>
    </w:p>
    <w:bookmarkEnd w:id="5"/>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2021年本部门一般公共预算拨款支出预算2997.83万元，其中，一般公共服务支出2552.51万元，占85.15%；社会保障和就业支出328.2万元，占10.95%，住房保障支出117.12万元，占3.9%。具体安排情况如下：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6" w:name="_Hlk107654172"/>
      <w:r>
        <w:rPr>
          <w:rFonts w:hint="eastAsia" w:ascii="仿宋" w:hAnsi="仿宋" w:eastAsia="仿宋" w:cs="仿宋"/>
          <w:b/>
          <w:color w:val="000000" w:themeColor="text1"/>
          <w:sz w:val="32"/>
          <w:szCs w:val="32"/>
          <w14:textFill>
            <w14:solidFill>
              <w14:schemeClr w14:val="tx1"/>
            </w14:solidFill>
          </w14:textFill>
        </w:rPr>
        <w:t>（一）基本支出：</w:t>
      </w:r>
      <w:bookmarkEnd w:id="6"/>
      <w:r>
        <w:rPr>
          <w:rFonts w:hint="eastAsia" w:ascii="仿宋" w:hAnsi="仿宋" w:eastAsia="仿宋" w:cs="仿宋"/>
          <w:color w:val="000000" w:themeColor="text1"/>
          <w:sz w:val="32"/>
          <w:szCs w:val="32"/>
          <w14:textFill>
            <w14:solidFill>
              <w14:schemeClr w14:val="tx1"/>
            </w14:solidFill>
          </w14:textFill>
        </w:rPr>
        <w:t>2021年本部门基本支出预算数2091.83万元，主要是为保障部门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7" w:name="_Hlk107654178"/>
      <w:r>
        <w:rPr>
          <w:rFonts w:hint="eastAsia" w:ascii="仿宋" w:hAnsi="仿宋" w:eastAsia="仿宋" w:cs="仿宋"/>
          <w:b/>
          <w:color w:val="000000" w:themeColor="text1"/>
          <w:sz w:val="32"/>
          <w:szCs w:val="32"/>
          <w14:textFill>
            <w14:solidFill>
              <w14:schemeClr w14:val="tx1"/>
            </w14:solidFill>
          </w14:textFill>
        </w:rPr>
        <w:t>（二）项目支出：</w:t>
      </w:r>
      <w:bookmarkEnd w:id="7"/>
      <w:r>
        <w:rPr>
          <w:rFonts w:hint="eastAsia" w:ascii="仿宋" w:hAnsi="仿宋" w:eastAsia="仿宋" w:cs="仿宋"/>
          <w:color w:val="000000" w:themeColor="text1"/>
          <w:sz w:val="32"/>
          <w:szCs w:val="32"/>
          <w14:textFill>
            <w14:solidFill>
              <w14:schemeClr w14:val="tx1"/>
            </w14:solidFill>
          </w14:textFill>
        </w:rPr>
        <w:t>2021年本部门项目支出预算数906万元，主要是部门为完成特定行政工作任务或事业发展目标而发生的支出，包括有关事业发展专项、专项业务费、基本建设支出等，其中：社会管理事务支出209万元，主要用于党建、人大政协、社会化管理创新、公共文明指数测评、纪检、文体活动等方面；城市管理事务支出230万元，主要用于市容环境卫生、提质改造、公共基础设施日常维护（含道路养护）、城市生活垃圾分类、环保宣传等方面；公共服务事务支出240万元，主要用于社会救助、拥军优属、劳动就业、社会保障、居家养老、伤残、死亡抚恤、双拥、优抚、社区社会组织管理等方面；经济发展事务支出77万元，主要用于在辖区内的经济建设、产业发展、招商引资、协税护税、经信科技、统计等工作等方面；其他事务（含预备费）支出150万元，主要用于其他不可预计事务等方面。</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bookmarkStart w:id="8" w:name="_Hlk107646415"/>
      <w:r>
        <w:rPr>
          <w:rFonts w:eastAsia="黑体"/>
          <w:color w:val="000000" w:themeColor="text1"/>
          <w:sz w:val="32"/>
          <w:szCs w:val="32"/>
          <w14:textFill>
            <w14:solidFill>
              <w14:schemeClr w14:val="tx1"/>
            </w14:solidFill>
          </w14:textFill>
        </w:rPr>
        <w:t>五、政府性基金预算支出</w:t>
      </w:r>
    </w:p>
    <w:bookmarkEnd w:id="8"/>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bookmarkStart w:id="9" w:name="_Hlk107646450"/>
      <w:r>
        <w:rPr>
          <w:rFonts w:eastAsia="黑体"/>
          <w:color w:val="000000" w:themeColor="text1"/>
          <w:sz w:val="32"/>
          <w:szCs w:val="32"/>
          <w14:textFill>
            <w14:solidFill>
              <w14:schemeClr w14:val="tx1"/>
            </w14:solidFill>
          </w14:textFill>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（一）机关运行经费：</w:t>
      </w:r>
      <w:bookmarkEnd w:id="9"/>
      <w:r>
        <w:rPr>
          <w:rFonts w:hint="eastAsia" w:ascii="仿宋" w:hAnsi="仿宋" w:eastAsia="仿宋" w:cs="仿宋"/>
          <w:color w:val="000000" w:themeColor="text1"/>
          <w:sz w:val="32"/>
          <w:szCs w:val="32"/>
          <w14:textFill>
            <w14:solidFill>
              <w14:schemeClr w14:val="tx1"/>
            </w14:solidFill>
          </w14:textFill>
        </w:rPr>
        <w:t xml:space="preserve"> 2021年本部门机关运行经费192.19万元，较上年增加33万元，上升20.7%，主要是街道在有限的财力下，进一步压减项目支出，但因单位人数变动及单位事权调整，机关运行经费预算跟随调整。确保能充分做到保工资、保运转、保基本民生，坚决保障基层政府实施公共管理、提供基本公共服务以及落实党中央、国务院各项民生政策的基本财力需要。</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10" w:name="_Hlk107646465"/>
      <w:r>
        <w:rPr>
          <w:rFonts w:hint="eastAsia" w:ascii="仿宋" w:hAnsi="仿宋" w:eastAsia="仿宋" w:cs="仿宋"/>
          <w:b/>
          <w:color w:val="000000" w:themeColor="text1"/>
          <w:sz w:val="32"/>
          <w:szCs w:val="32"/>
          <w14:textFill>
            <w14:solidFill>
              <w14:schemeClr w14:val="tx1"/>
            </w14:solidFill>
          </w14:textFill>
        </w:rPr>
        <w:t>（二）“三公”经费预算：</w:t>
      </w:r>
      <w:bookmarkEnd w:id="10"/>
      <w:r>
        <w:rPr>
          <w:rFonts w:hint="eastAsia" w:ascii="仿宋" w:hAnsi="仿宋" w:eastAsia="仿宋" w:cs="仿宋"/>
          <w:color w:val="000000" w:themeColor="text1"/>
          <w:sz w:val="32"/>
          <w:szCs w:val="32"/>
          <w14:textFill>
            <w14:solidFill>
              <w14:schemeClr w14:val="tx1"/>
            </w14:solidFill>
          </w14:textFill>
        </w:rPr>
        <w:t>2021年本部门“三公”经费预算1.5万元，其中：公务接待费1万元，公务用车购置及运行经费0.5万元（其中，公务用车购置费0元，公务用车运行维护费0.5万元），因公出国（境）费0万元。2021年“三公”经费预算较2020年减少4万元，下降72.7%，主要是街道认真贯彻落实中央八项规定精神，厉行节约，严格控制公务接待开支和公务用车运行开支。</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（三）一般性支出情况：</w:t>
      </w:r>
      <w:r>
        <w:rPr>
          <w:rFonts w:hint="eastAsia" w:ascii="仿宋" w:hAnsi="仿宋" w:eastAsia="仿宋" w:cs="仿宋"/>
          <w:color w:val="000000" w:themeColor="text1"/>
          <w:sz w:val="32"/>
          <w:szCs w:val="32"/>
          <w14:textFill>
            <w14:solidFill>
              <w14:schemeClr w14:val="tx1"/>
            </w14:solidFill>
          </w14:textFill>
        </w:rPr>
        <w:t>2021年本部门会议费预算1万元，拟召开1次会议，人数100人左右，内容为党建建设工作安排会；培训费预算2万元，拟开展培训2次，人数每次大约100人，内容为街道开展就业培训，以及街道自身人员参加外部培训费用。无举办节庆、晚会、论坛、赛事等活动安排。以上均是根据上年情况和街道实际安排作出的预算设置，无预算不开支。</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11" w:name="_Hlk107646562"/>
      <w:r>
        <w:rPr>
          <w:rFonts w:hint="eastAsia" w:ascii="仿宋" w:hAnsi="仿宋" w:eastAsia="仿宋" w:cs="仿宋"/>
          <w:b/>
          <w:color w:val="000000" w:themeColor="text1"/>
          <w:sz w:val="32"/>
          <w:szCs w:val="32"/>
          <w14:textFill>
            <w14:solidFill>
              <w14:schemeClr w14:val="tx1"/>
            </w14:solidFill>
          </w14:textFill>
        </w:rPr>
        <w:t>（四）政府采购情况：</w:t>
      </w:r>
      <w:bookmarkEnd w:id="11"/>
      <w:r>
        <w:rPr>
          <w:rFonts w:hint="eastAsia" w:ascii="仿宋" w:hAnsi="仿宋" w:eastAsia="仿宋" w:cs="仿宋"/>
          <w:color w:val="000000" w:themeColor="text1"/>
          <w:sz w:val="32"/>
          <w:szCs w:val="32"/>
          <w14:textFill>
            <w14:solidFill>
              <w14:schemeClr w14:val="tx1"/>
            </w14:solidFill>
          </w14:textFill>
        </w:rPr>
        <w:t>2021年本部门政府采购预算总额405万元，其中，货物类采购预算80万元、工程类采购预算0万元、服务类采购预算325万元。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12" w:name="_Hlk107651348"/>
      <w:r>
        <w:rPr>
          <w:rFonts w:hint="eastAsia" w:ascii="仿宋" w:hAnsi="仿宋" w:eastAsia="仿宋" w:cs="仿宋"/>
          <w:b/>
          <w:color w:val="000000" w:themeColor="text1"/>
          <w:sz w:val="32"/>
          <w:szCs w:val="32"/>
          <w14:textFill>
            <w14:solidFill>
              <w14:schemeClr w14:val="tx1"/>
            </w14:solidFill>
          </w14:textFill>
        </w:rPr>
        <w:t>（五）国有资产占用使用及新增资产配置情况：</w:t>
      </w:r>
      <w:bookmarkEnd w:id="12"/>
      <w:r>
        <w:rPr>
          <w:rFonts w:hint="eastAsia" w:ascii="仿宋" w:hAnsi="仿宋" w:eastAsia="仿宋" w:cs="仿宋"/>
          <w:color w:val="000000" w:themeColor="text1"/>
          <w:sz w:val="32"/>
          <w:szCs w:val="32"/>
          <w14:textFill>
            <w14:solidFill>
              <w14:schemeClr w14:val="tx1"/>
            </w14:solidFill>
          </w14:textFill>
        </w:rPr>
        <w:t>截至2020年12月底，本部门共有车辆</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辆，其中，机要通信用车0辆，应急保障用车0辆，执法执勤用车0辆，特种专业技术用车0辆，其他按照规定配备的公务用车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bookmarkStart w:id="13" w:name="_Hlk107651385"/>
      <w:r>
        <w:rPr>
          <w:rFonts w:hint="eastAsia" w:ascii="仿宋" w:hAnsi="仿宋" w:eastAsia="仿宋" w:cs="仿宋"/>
          <w:b/>
          <w:bCs/>
          <w:color w:val="000000" w:themeColor="text1"/>
          <w:kern w:val="0"/>
          <w:sz w:val="32"/>
          <w:szCs w:val="32"/>
          <w14:textFill>
            <w14:solidFill>
              <w14:schemeClr w14:val="tx1"/>
            </w14:solidFill>
          </w14:textFill>
        </w:rPr>
        <w:t>（六）预算绩效目标说明：</w:t>
      </w:r>
      <w:bookmarkEnd w:id="13"/>
      <w:r>
        <w:rPr>
          <w:rFonts w:hint="eastAsia" w:ascii="仿宋" w:hAnsi="仿宋" w:eastAsia="仿宋" w:cs="仿宋"/>
          <w:color w:val="000000" w:themeColor="text1"/>
          <w:sz w:val="32"/>
          <w:szCs w:val="32"/>
          <w14:textFill>
            <w14:solidFill>
              <w14:schemeClr w14:val="tx1"/>
            </w14:solidFill>
          </w14:textFill>
        </w:rPr>
        <w:t>本部门所有支出实行绩效目标管理。纳入2021年部门整体支出绩效目标的金额为整体支出4146.83万元，其中基本支出2091.83万元，项目支出2055万元，涉及一般公共预算当年拨款2997.83万元，具体绩效目标详见报表。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编报绩效目标的项目5个，涉及项目支出2055万元，其中社会管理事务509万元，城市管理事务797万元，公共服务事务507万元，经济发展事务92万元，其他事务（含预备费）150万元，全部实现项目支出绩效目标管理。 </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000000" w:themeColor="text1"/>
          <w:sz w:val="32"/>
          <w:szCs w:val="32"/>
          <w14:textFill>
            <w14:solidFill>
              <w14:schemeClr w14:val="tx1"/>
            </w14:solidFill>
          </w14:textFill>
        </w:rPr>
      </w:pPr>
      <w:bookmarkStart w:id="14" w:name="_Hlk107646680"/>
      <w:r>
        <w:rPr>
          <w:rFonts w:eastAsia="黑体"/>
          <w:color w:val="000000" w:themeColor="text1"/>
          <w:sz w:val="32"/>
          <w:szCs w:val="32"/>
          <w14:textFill>
            <w14:solidFill>
              <w14:schemeClr w14:val="tx1"/>
            </w14:solidFill>
          </w14:textFill>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bookmarkStart w:id="15" w:name="_Hlk107644018"/>
      <w:r>
        <w:rPr>
          <w:rFonts w:hint="eastAsia" w:ascii="仿宋" w:hAnsi="仿宋" w:eastAsia="仿宋" w:cs="仿宋"/>
          <w:color w:val="000000" w:themeColor="text1"/>
          <w:sz w:val="32"/>
          <w:szCs w:val="32"/>
          <w14:textFill>
            <w14:solidFill>
              <w14:schemeClr w14:val="tx1"/>
            </w14:solidFill>
          </w14:textFill>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bookmarkEnd w:id="15"/>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000000" w:themeColor="text1"/>
          <w:kern w:val="0"/>
          <w:sz w:val="36"/>
          <w:szCs w:val="36"/>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第二部分 2021年部门预算表</w:t>
      </w:r>
    </w:p>
    <w:bookmarkEnd w:id="14"/>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ascii="宋体" w:hAnsi="宋体" w:eastAsia="宋体" w:cs="宋体"/>
          <w:color w:val="000000" w:themeColor="text1"/>
          <w:sz w:val="16"/>
          <w:szCs w:val="16"/>
          <w14:textFill>
            <w14:solidFill>
              <w14:schemeClr w14:val="tx1"/>
            </w14:solidFill>
          </w14:textFill>
        </w:rPr>
      </w:pPr>
    </w:p>
    <w:p>
      <w:pPr>
        <w:pStyle w:val="5"/>
        <w:widowControl/>
        <w:spacing w:beforeAutospacing="0" w:afterAutospacing="0" w:line="432" w:lineRule="atLeast"/>
        <w:jc w:val="both"/>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jI1YmU1M2JjYTljYjA1Zjc4MDY4YTE0ZWIzN2QifQ=="/>
  </w:docVars>
  <w:rsids>
    <w:rsidRoot w:val="6522212A"/>
    <w:rsid w:val="00502375"/>
    <w:rsid w:val="00852746"/>
    <w:rsid w:val="00A54CB6"/>
    <w:rsid w:val="00B475F9"/>
    <w:rsid w:val="00DD4677"/>
    <w:rsid w:val="035E6E52"/>
    <w:rsid w:val="125B68F3"/>
    <w:rsid w:val="2361131A"/>
    <w:rsid w:val="29407D5B"/>
    <w:rsid w:val="2BDB53FB"/>
    <w:rsid w:val="2E9F1CE8"/>
    <w:rsid w:val="387B00E6"/>
    <w:rsid w:val="3A825FA7"/>
    <w:rsid w:val="3C330891"/>
    <w:rsid w:val="40C3323F"/>
    <w:rsid w:val="441D4E47"/>
    <w:rsid w:val="44E84964"/>
    <w:rsid w:val="5C8A6FAF"/>
    <w:rsid w:val="6522212A"/>
    <w:rsid w:val="69834548"/>
    <w:rsid w:val="76A55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4890</Words>
  <Characters>5159</Characters>
  <Lines>37</Lines>
  <Paragraphs>10</Paragraphs>
  <TotalTime>40</TotalTime>
  <ScaleCrop>false</ScaleCrop>
  <LinksUpToDate>false</LinksUpToDate>
  <CharactersWithSpaces>5164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2022-06-28T15:36:00Z</dcterms:created>
  <dc:creator>燕子</dc:creator>
  <cp:lastModifiedBy>Administrator</cp:lastModifiedBy>
  <dcterms:modified xsi:type="dcterms:W3CDTF">2022-08-19T03:45:20Z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F04EE96CF0C74B7B92783B9AF254654D</vt:lpwstr>
  </property>
</Properties>
</file>