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leftChars="0" w:right="-86" w:rightChars="-41" w:firstLine="417" w:firstLineChars="87"/>
        <w:jc w:val="both"/>
        <w:textAlignment w:val="auto"/>
        <w:rPr>
          <w:rFonts w:hint="eastAsia" w:ascii="黑体" w:hAnsi="黑体" w:eastAsia="黑体" w:cs="黑体"/>
          <w:b w:val="0"/>
          <w:bCs/>
          <w:kern w:val="0"/>
          <w:sz w:val="48"/>
          <w:szCs w:val="48"/>
          <w:lang w:val="en-US" w:eastAsia="zh-CN" w:bidi="ar-SA"/>
        </w:rPr>
      </w:pPr>
      <w:r>
        <w:rPr>
          <w:rFonts w:hint="eastAsia" w:ascii="黑体" w:hAnsi="黑体" w:eastAsia="黑体" w:cs="黑体"/>
          <w:b w:val="0"/>
          <w:bCs/>
          <w:kern w:val="0"/>
          <w:sz w:val="48"/>
          <w:szCs w:val="48"/>
          <w:lang w:val="en-US" w:eastAsia="zh-CN" w:bidi="ar-SA"/>
        </w:rPr>
        <w:t>2020年长沙市开福区青竹湖街道办事处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960" w:firstLineChars="200"/>
        <w:jc w:val="center"/>
        <w:textAlignment w:val="auto"/>
        <w:rPr>
          <w:rFonts w:hint="eastAsia" w:ascii="黑体" w:hAnsi="黑体" w:eastAsia="黑体" w:cs="黑体"/>
          <w:b w:val="0"/>
          <w:bCs/>
          <w:kern w:val="0"/>
          <w:sz w:val="48"/>
          <w:szCs w:val="48"/>
          <w:lang w:val="en-US" w:eastAsia="zh-CN" w:bidi="ar-SA"/>
        </w:rPr>
      </w:pPr>
      <w:r>
        <w:rPr>
          <w:rFonts w:hint="eastAsia" w:ascii="黑体" w:hAnsi="黑体" w:eastAsia="黑体" w:cs="黑体"/>
          <w:b w:val="0"/>
          <w:bCs/>
          <w:kern w:val="0"/>
          <w:sz w:val="48"/>
          <w:szCs w:val="48"/>
          <w:lang w:val="en-US" w:eastAsia="zh-CN" w:bidi="ar-SA"/>
        </w:rPr>
        <w:t>部门决算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0" w:afterAutospacing="0" w:line="600" w:lineRule="exact"/>
        <w:ind w:left="0" w:right="0" w:firstLine="640" w:firstLineChars="200"/>
        <w:jc w:val="center"/>
        <w:textAlignment w:val="auto"/>
        <w:rPr>
          <w:rFonts w:hint="eastAsia" w:ascii="Times New Roman" w:hAnsi="Times New Roman" w:eastAsia="黑体" w:cs="Times New Roman"/>
          <w:bCs/>
          <w:kern w:val="0"/>
          <w:sz w:val="32"/>
          <w:szCs w:val="32"/>
          <w:lang w:val="en-US" w:eastAsia="zh-CN" w:bidi="ar-SA"/>
        </w:rPr>
      </w:pPr>
      <w:r>
        <w:rPr>
          <w:rFonts w:hint="eastAsia" w:ascii="Times New Roman" w:hAnsi="Times New Roman" w:eastAsia="黑体" w:cs="Times New Roman"/>
          <w:bCs/>
          <w:kern w:val="0"/>
          <w:sz w:val="32"/>
          <w:szCs w:val="32"/>
          <w:lang w:val="en-US" w:eastAsia="zh-CN" w:bidi="ar-SA"/>
        </w:rPr>
        <w:t>目 录</w:t>
      </w:r>
    </w:p>
    <w:p>
      <w:pPr>
        <w:keepNext w:val="0"/>
        <w:keepLines w:val="0"/>
        <w:pageBreakBefore w:val="0"/>
        <w:widowControl/>
        <w:kinsoku/>
        <w:wordWrap/>
        <w:overflowPunct/>
        <w:topLinePunct w:val="0"/>
        <w:bidi w:val="0"/>
        <w:snapToGrid/>
        <w:spacing w:line="600" w:lineRule="exact"/>
        <w:textAlignment w:val="auto"/>
        <w:rPr>
          <w:rFonts w:hint="eastAsia" w:ascii="黑体" w:hAnsi="黑体" w:eastAsia="黑体" w:cs="黑体"/>
          <w:b/>
          <w:bCs/>
          <w:kern w:val="0"/>
          <w:sz w:val="32"/>
          <w:szCs w:val="32"/>
          <w:lang w:val="en-US" w:eastAsia="zh-CN"/>
        </w:rPr>
      </w:pPr>
      <w:r>
        <w:rPr>
          <w:rFonts w:hint="eastAsia" w:ascii="黑体" w:hAnsi="黑体" w:eastAsia="黑体" w:cs="黑体"/>
          <w:b/>
          <w:bCs/>
          <w:kern w:val="0"/>
          <w:sz w:val="32"/>
          <w:szCs w:val="32"/>
          <w:lang w:val="en-US" w:eastAsia="zh-CN"/>
        </w:rPr>
        <w:t>第一部分 长沙市开福区青竹湖街道办事处部门概况</w:t>
      </w:r>
    </w:p>
    <w:p>
      <w:pPr>
        <w:pStyle w:val="6"/>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6"/>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keepNext w:val="0"/>
        <w:keepLines w:val="0"/>
        <w:pageBreakBefore w:val="0"/>
        <w:widowControl/>
        <w:kinsoku/>
        <w:wordWrap/>
        <w:overflowPunct/>
        <w:topLinePunct w:val="0"/>
        <w:bidi w:val="0"/>
        <w:snapToGrid/>
        <w:spacing w:line="600" w:lineRule="exact"/>
        <w:ind w:firstLine="720" w:firstLineChars="200"/>
        <w:jc w:val="both"/>
        <w:textAlignment w:val="auto"/>
        <w:rPr>
          <w:rFonts w:hint="eastAsia" w:eastAsia="方正小标宋_GBK"/>
          <w:bCs/>
          <w:kern w:val="0"/>
          <w:sz w:val="36"/>
          <w:szCs w:val="36"/>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883" w:firstLineChars="200"/>
        <w:jc w:val="center"/>
        <w:textAlignment w:val="auto"/>
        <w:rPr>
          <w:rFonts w:hint="eastAsia" w:ascii="黑体" w:hAnsi="黑体" w:eastAsia="黑体" w:cs="黑体"/>
          <w:b/>
          <w:bCs w:val="0"/>
          <w:kern w:val="0"/>
          <w:sz w:val="44"/>
          <w:szCs w:val="44"/>
          <w:lang w:val="en-US" w:eastAsia="zh-CN" w:bidi="ar-SA"/>
        </w:rPr>
      </w:pPr>
      <w:r>
        <w:rPr>
          <w:rFonts w:hint="eastAsia" w:ascii="黑体" w:hAnsi="黑体" w:eastAsia="黑体" w:cs="黑体"/>
          <w:b/>
          <w:bCs w:val="0"/>
          <w:kern w:val="0"/>
          <w:sz w:val="44"/>
          <w:szCs w:val="44"/>
          <w:lang w:val="en-US" w:eastAsia="zh-CN" w:bidi="ar-SA"/>
        </w:rPr>
        <w:t>第一部分 长沙市开福区青竹湖街道办事处部门概况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街道工委作为区委的派出机关，领导全街经济、政治、文化、社会、生态文明建设等各项工作和基层社会治理；街道办事处是区人民政府的派出机关，依法行使政府管理和服务职能，街道主要履行8项职能。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加强党的建设。落实基层党建工作责任制，统筹街道和社区区域化党建，加强非公有制经济组织和社会组织党建工作，实现党的组织和工作全覆盖。不断提高党的建设质量，落实管党治党责任，推动全面从严治党向基层延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（2）统筹区域发展。统筹落实市、区关于辖区发展的重点决策和建设规划，负责优化发展环境、采集企业信息、服务辖区企业、促进项目发展、加快农业农村现代化等工作。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（3）组织公共服务。组织实施与居民生活密切相关的各项公共服务事项，落实人力资源社会保障、民政、教育、文化、体育、卫生健康等领域相关法规政策。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（4）实施公共管理。负责辖区内城市管理等综合性管理工作，承担组织领导和综合协调职能。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（5）维护公共安全。承担辖区内社会治安综合治理、应急管理等有关工作，街道群众来信来访，反映社情民意，化解矛盾纠纷等。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（6）监督执法管理。对辖区内各类行政执法工作进行统筹协调，组织开展群众监督和社会监督。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（7）动员社会参与。动员辖区内各类单位、社会组织、社区居民等社会力量参与社会治理，为街道发展服务。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（8）保障基层自治。指导社区居委会建设，健全社区自治平台，组织驻区单位和居民参与社区建设、管理。</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kern w:val="0"/>
          <w:sz w:val="32"/>
          <w:szCs w:val="32"/>
          <w:lang w:val="en-US" w:eastAsia="zh-CN"/>
        </w:rPr>
      </w:pPr>
      <w:r>
        <w:rPr>
          <w:rFonts w:hint="eastAsia" w:ascii="黑体" w:hAnsi="黑体" w:eastAsia="黑体" w:cs="黑体"/>
          <w:b w:val="0"/>
          <w:bCs/>
          <w:kern w:val="0"/>
          <w:sz w:val="32"/>
          <w:szCs w:val="32"/>
          <w:lang w:val="en-US" w:eastAsia="zh-CN"/>
        </w:rPr>
        <w:t>二、机构设置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（一）内设机构设置。</w:t>
      </w:r>
      <w:r>
        <w:rPr>
          <w:rFonts w:hint="eastAsia" w:ascii="仿宋" w:hAnsi="仿宋" w:eastAsia="仿宋" w:cs="仿宋"/>
          <w:color w:val="000000"/>
          <w:kern w:val="0"/>
          <w:sz w:val="32"/>
          <w:szCs w:val="32"/>
          <w:lang w:val="en-US" w:eastAsia="zh-CN" w:bidi="ar-SA"/>
        </w:rPr>
        <w:t>本街道由五个党政机构、一个执法机构、两个中心及一个二级机构组成，党政机构、执法机构、中心及二级机构包括：基层党建办、党政综合办、公共安全办、城市管理办、公共服务办、财政所、纪工委、综合行政执法队、街道政务服务中心、街道网格化综合服务中心、青竹湖水利管理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本部门编制数50人，在职人数93人，其中：在岗人数50人；编外长期聘用人员43人；离退休人数17人，其中离休人员0人，退休人员17人。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（二）决算单位构成。</w:t>
      </w:r>
      <w:r>
        <w:rPr>
          <w:rFonts w:hint="eastAsia" w:ascii="仿宋" w:hAnsi="仿宋" w:eastAsia="仿宋" w:cs="仿宋"/>
          <w:color w:val="000000"/>
          <w:kern w:val="0"/>
          <w:sz w:val="32"/>
          <w:szCs w:val="32"/>
          <w:lang w:val="en-US" w:eastAsia="zh-CN" w:bidi="ar-SA"/>
        </w:rPr>
        <w:t>青竹湖街道办事处2020年部门决算汇总公开单位构成包括：青竹湖街道办事处本级。</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Chars="200" w:right="0" w:rightChars="0" w:firstLine="640" w:firstLineChars="200"/>
        <w:jc w:val="left"/>
        <w:textAlignment w:val="auto"/>
        <w:rPr>
          <w:rFonts w:hint="eastAsia" w:ascii="仿宋" w:hAnsi="仿宋" w:eastAsia="仿宋" w:cs="仿宋"/>
          <w:color w:val="000000"/>
          <w:kern w:val="0"/>
          <w:sz w:val="32"/>
          <w:szCs w:val="32"/>
          <w:lang w:val="en-US" w:eastAsia="zh-CN" w:bidi="ar-SA"/>
        </w:rPr>
      </w:pPr>
    </w:p>
    <w:p>
      <w:pPr>
        <w:pStyle w:val="6"/>
        <w:keepNext w:val="0"/>
        <w:keepLines w:val="0"/>
        <w:pageBreakBefore w:val="0"/>
        <w:numPr>
          <w:ilvl w:val="0"/>
          <w:numId w:val="1"/>
        </w:numPr>
        <w:kinsoku/>
        <w:wordWrap/>
        <w:overflowPunct/>
        <w:topLinePunct w:val="0"/>
        <w:bidi w:val="0"/>
        <w:snapToGrid/>
        <w:spacing w:line="600" w:lineRule="exact"/>
        <w:ind w:firstLine="883" w:firstLineChars="200"/>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部门决算表</w:t>
      </w:r>
    </w:p>
    <w:p>
      <w:pPr>
        <w:pStyle w:val="6"/>
        <w:keepNext w:val="0"/>
        <w:keepLines w:val="0"/>
        <w:pageBreakBefore w:val="0"/>
        <w:numPr>
          <w:ilvl w:val="0"/>
          <w:numId w:val="0"/>
        </w:numPr>
        <w:kinsoku/>
        <w:wordWrap/>
        <w:overflowPunct/>
        <w:topLinePunct w:val="0"/>
        <w:bidi w:val="0"/>
        <w:snapToGrid/>
        <w:spacing w:line="600" w:lineRule="exact"/>
        <w:ind w:firstLine="640"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6"/>
        <w:keepNext w:val="0"/>
        <w:keepLines w:val="0"/>
        <w:pageBreakBefore w:val="0"/>
        <w:numPr>
          <w:ilvl w:val="0"/>
          <w:numId w:val="0"/>
        </w:numPr>
        <w:kinsoku/>
        <w:wordWrap/>
        <w:overflowPunct/>
        <w:topLinePunct w:val="0"/>
        <w:bidi w:val="0"/>
        <w:snapToGrid/>
        <w:spacing w:line="600" w:lineRule="exact"/>
        <w:ind w:firstLine="640"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黑体" w:eastAsia="黑体" w:cs="黑体"/>
          <w:color w:val="000000"/>
          <w:kern w:val="0"/>
          <w:sz w:val="70"/>
          <w:szCs w:val="70"/>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kern w:val="0"/>
          <w:sz w:val="32"/>
          <w:szCs w:val="32"/>
          <w:lang w:val="en-US" w:eastAsia="zh-CN" w:bidi="ar-SA"/>
        </w:rPr>
        <w:t>2020年度收入总计</w:t>
      </w:r>
      <w:r>
        <w:rPr>
          <w:rFonts w:hint="eastAsia" w:ascii="仿宋" w:hAnsi="仿宋" w:eastAsia="仿宋" w:cs="仿宋"/>
          <w:color w:val="000000" w:themeColor="text1"/>
          <w:kern w:val="0"/>
          <w:sz w:val="32"/>
          <w:szCs w:val="32"/>
          <w:lang w:val="en-US" w:eastAsia="zh-CN" w:bidi="ar-SA"/>
          <w14:textFill>
            <w14:solidFill>
              <w14:schemeClr w14:val="tx1"/>
            </w14:solidFill>
          </w14:textFill>
        </w:rPr>
        <w:t>8444.29万元，与2019年相比，增加1152.72万元，增长15.81%。主要是因为上级各线各部门专项拨款增加。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2020年度支出合计8444.29万元，与2019年相比，增加1152.72万元，增长15.81%，</w:t>
      </w:r>
      <w:r>
        <w:rPr>
          <w:rFonts w:hint="eastAsia" w:ascii="仿宋" w:hAnsi="仿宋" w:eastAsia="仿宋" w:cs="仿宋"/>
          <w:color w:val="000000"/>
          <w:kern w:val="0"/>
          <w:sz w:val="32"/>
          <w:szCs w:val="32"/>
          <w:lang w:val="en-US" w:eastAsia="zh-CN" w:bidi="ar-SA"/>
        </w:rPr>
        <w:t>主要是因为上级各线各部门专项拨款增加。</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本年收入合计7092.48万元，其中：财政拨款收入7045.83万元，占99.34%；上级补助收入0万元，占0%；事业收入0万元，占0%；经营收入0万元，占0%；附属单位上缴收入0万元，占0%；其他收入46.66万元，占0.66%。</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本年支出合计7032.02万元，其中：基本支出1894.98万元，占26.95%；项目支出5137.04万元，占73.05%；上缴上级支出0万元，占0%；经营支出0万元，占0%；对附属单位补助支出0万元，占0%。</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kern w:val="0"/>
          <w:sz w:val="32"/>
          <w:szCs w:val="32"/>
          <w:lang w:val="en-US" w:eastAsia="zh-CN" w:bidi="ar-SA"/>
        </w:rPr>
        <w:t>2020年度财政拨款收入</w:t>
      </w:r>
      <w:r>
        <w:rPr>
          <w:rFonts w:hint="eastAsia" w:ascii="仿宋" w:hAnsi="仿宋" w:eastAsia="仿宋" w:cs="仿宋"/>
          <w:color w:val="000000" w:themeColor="text1"/>
          <w:kern w:val="0"/>
          <w:sz w:val="32"/>
          <w:szCs w:val="32"/>
          <w:lang w:val="en-US" w:eastAsia="zh-CN" w:bidi="ar-SA"/>
          <w14:textFill>
            <w14:solidFill>
              <w14:schemeClr w14:val="tx1"/>
            </w14:solidFill>
          </w14:textFill>
        </w:rPr>
        <w:t>总计8397.64万元，与2019年相比，增加1106.07万元,增长15.17%，主要是因为上级各线各部门专项拨款增加。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2020年度财政拨款支出总计8397.64万元，与2019年相比，增加1106.07万元,增长15.17%，主要是因为上级各线各部门专项拨款增加。</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kern w:val="0"/>
          <w:sz w:val="32"/>
          <w:szCs w:val="32"/>
          <w:lang w:val="en-US" w:eastAsia="zh-CN" w:bidi="ar-SA"/>
          <w14:textFill>
            <w14:solidFill>
              <w14:schemeClr w14:val="tx1"/>
            </w14:solidFill>
          </w14:textFill>
        </w:rPr>
        <w:t>2020年度财政拨款支出6985.36万元，占本年支出合计的99.34%，与2019年相比，财政拨款支出增加1070.51万元，增长18.1%，主要是因为上级各线各部门专项拨款增加。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（二）财政拨款支出决算结构情况</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6985.36万元，主要用于以下方面：一般公共服务（类）支出156.02万元，占2.23%；公共安全（类）支出12万元，占0.17%；文化旅游体育与传媒（类）支出11.7万元，占0.17%；社会保障和就业（类）支出1550.28万元，占22.19%；卫生健康（类）支出83.23万元，占1.19%；节能环保（类）支出34.57万元，占0.49%；城乡社区（类）支出483.64万元，占6.92%；农林水（类）支出4549.78万元，占65.14%；住房保障（类）支出96.81万元，占1.39%；灾害防治及应急管理（类）支出7.34万元，占0.11%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2020年度财政拨款支出年初预算数为4771万元，支出决算数为6985.36万元，完成年初预算的146.41%，其中：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default"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1、一般公共服务支出(类）人大事务（款）行政运行（项）。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年初预算为0万元，支出决算为3.94万元，决算数大于年初预算数的主要原因是：上级部门追加资金，不需要调整年初预算。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2、一般公共服务支出(类）政府办公厅（室）及相关机构事务（款）行政运行（项）。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3、一般公共服务支出(类）政府办公厅（室）及相关机构事务（款）一般行政管理事务（项）。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年初预算为0万元，支出决算为1.44万元，决算数大于年初预算数的主要原因是：上级部门追加资金，不需要调整年初预算。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4、一般公共服务支出(类）统计信息事务（款）专项普查活动（项）。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年初预算为0万元，支出决算为5.48万元，决算数大于年初预算数的主要原因是：上级部门追加资金，不需要调整年初预算。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5、一般公共服务支出(类）统计信息事务（款）统计抽样调查（项）。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6、一般公共服务支出(类）纪检监察事务（款）一般行政管理事务（项）。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年初预算为0万元，支出决算为1.16万元，决算数大于年初预算数的主要原因是：上级部门追加资金，不需要调整年初预算。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7、一般公共服务支出(类）党委办公厅（室）及相关机构事务（款）专项业务（项）。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年初预算为0万元，支出决算为1.2万元，决算数大于年初预算数的主要原因是：上级部门追加资金，不需要调整年初预算。</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一般公共服务支出(类）组织事务（款）一般行政管理事务（项）。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right="0" w:rightChars="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年初预算为0万元，支出决算为127.2万元，决算数大于年初预算数的主要原因是：上级部门追加资金，不需要调整年初预算。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9、一般公共服务支出(类）宣传事务（款）一般行政管理事务（项）。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10、一般公共服务支出(类）市场监督管理事务（款）一般行政管理事务（项）。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11、公共安全支出(类）武装警察部队（款）武装警察部队（项）。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年初预算为0万元，支出决算为7万元，决算数大于年初预算数的主要原因是：上级部门追加资金，不需要调整年初预算。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12、公共安全支出(类）公安（款）其他公安支出（项）。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13、文化旅游体育与传媒支出(类）文化和旅游（款）一般行政管理事务（项）。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14、文化旅游体育与传媒支出(类）文化和旅游（款）群众文化（项）。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15、文化旅游体育与传媒支出(类）文化和旅游（款）其他文化和旅游支出（项）。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16、文化旅游体育与传媒支出(类）文物（款）文物保护（项）。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17、社会保障和就业支出(类）人力资源和社会保障管理事务（款）其他人力资源和社会保障管理事务支出（项）。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年初预算为0万元，支出决算为121.35万元，决算数大于年初预算数的主要原因是：上级部门追加资金，不需要调整年初预算。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18、社会保障和就业支出(类）民政管理事务（款）一般行政管理事务（项）。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年初预算为0万元，支出决算为26.56万元，决算数大于年初预算数的主要原因是：上级部门追加资金，不需要调整年初预算。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19、社会保障和就业支出(类）民政管理事务（款）基层政权建设和社区治理（项）。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年初预算为0万元，支出决算为1211.92万元，决算数大于年初预算数的主要原因是：上级部门追加资金，不需要调整年初预算。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20、社会保障和就业支出(类）民政管理事务（款）其他民政管理事务支出（项）。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年初预算为0万元，支出决算为2.64万元，决算数大于年初预算数的主要原因是：上级部门追加资金，不需要调整年初预算。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21、社会保障和就业支出(类）行政事业单位养老支出（款）行政单位离退休（项）。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年初预算为87.58万元，支出决算为18.91万元，完成年初预算的21.59%，决算数小于年初预算数的主要原因是：该类支出通过功能科目2130101核算。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22、社会保障和就业支出(类）就业补助（款）其他就业补助支出（项）。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年初预算为0万元，支出决算为5.98万元，决算数大于年初预算数的主要原因是：上级部门追加资金，不需要调整年初预算。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23、社会保障和就业支出(类）抚恤（款）其他优抚支出（项）。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年初预算为0万元，支出决算为30.22万元，决算数大于年初预算数的主要原因是：上级部门追加资金，不需要调整年初预算。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24、社会保障和就业支出(类）退役安置（款）其他退役安置支出（项）。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年初预算为0万元，支出决算为20.78万元，决算数大于年初预算数的主要原因是：上级部门追加资金，不需要调整年初预算。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25、社会保障和就业支出(类）社会福利（款）老年福利（项）。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年初预算为0万元，支出决算为67.69万元，决算数大于年初预算数的主要原因是：上级部门追加资金，不需要调整年初预算。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26、社会保障和就业支出(类）临时救助（款）临时救助支出（项）。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年初预算为0万元，支出决算为30.65万元，决算数大于年初预算数的主要原因是：上级部门追加资金，不需要调整年初预算。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27、社会保障和就业支出(类）退役军人管理事务（款）拥军优属（项）。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年初预算为0万元，支出决算为8.64万元，决算数大于年初预算数的主要原因是：上级部门追加资金，不需要调整年初预算。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28、社会保障和就业支出(类）退役军人管理事务（款）其他退役军人事务管理支出（项）。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年初预算为0万元，支出决算为4.95万元，决算数大于年初预算数的主要原因是：上级部门追加资金，不需要调整年初预算。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29、卫生健康支出(类）卫生健康管理事务（款）一般行政管理事务（项）。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年初预算为0万元，支出决算为1.51万元，决算数大于年初预算数的主要原因是：上级部门追加资金，不需要调整年初预算。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30、卫生健康支出(类）基层医疗卫生机构（款）城市社区卫生机构（项）。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31、卫生健康支出(类）公共卫生（款）疾病预防控制机构（项）。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年初预算为0万元，支出决算为49.5万元，决算数大于年初预算数的主要原因是：上级部门追加资金，不需要调整年初预算。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32、卫生健康支出(类）公共卫生（款）采供血机构（项）。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年初预算为0万元，支出决算为1.32万元，决算数大于年初预算数的主要原因是：上级部门追加资金，不需要调整年初预算。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33、卫生健康支出(类）公共卫生（款）重大公共卫生服务（项）。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年初预算为0万元，支出决算为10.28万元，决算数大于年初预算数的主要原因是：上级部门追加资金，不需要调整年初预算。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34、卫生健康支出(类）公共卫生（款）其他公共卫生支出（项）。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年初预算为0万元，支出决算为6.95万元，决算数大于年初预算数的主要原因是：上级部门追加资金，不需要调整年初预算。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35、卫生健康支出(类）计划生育事务（款）计划生育机构（项）。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36、卫生健康支出(类）计划生育事务（款）计划生育服务（项）。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年初预算为0万元，支出决算为2.43万元，决算数大于年初预算数的主要原因是：上级部门追加资金，不需要调整年初预算。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37、卫生健康支出(类）计划生育事务（款）其他计划生育事务支出（项）。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年初预算为0万元，支出决算为5.58万元，决算数大于年初预算数的主要原因是：上级部门追加资金，不需要调整年初预算。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38、卫生健康支出(类）优抚对象医疗（款）优抚对象医疗补助（项）。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年初预算为0万元，支出决算为2.66万元，决算数大于年初预算数的主要原因是：上级部门追加资金，不需要调整年初预算。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39、节能环保支出(类）环境保护管理事务（款）其他环境保护管理事务支出（项）。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年初预算为0万元，支出决算为24.57万元，决算数大于年初预算数的主要原因是：上级部门追加资金，不需要调整年初预算。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40、节能环保支出(类）能源节约利用（款）能源节约利用（项）。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年初预算为0万元，支出决算为10万元，决算数大于年初预算数的主要原因是：上级部门追加资金，不需要调整年初预算。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41、城乡社区支出(类）城乡社区管理事务（款）行政运行（项）。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年初预算为0万元，支出决算为28.28万元，决算数大于年初预算数的主要原因是：上级部门追加资金，不需要调整年初预算。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42、城乡社区支出(类）城乡社区管理事务（款）一般行政管理事务（项）。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年初预算为0万元，支出决算为375.52万元，决算数大于年初预算数的主要原因是：上级部门追加资金，不需要调整年初预算。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43、城乡社区支出(类）城乡社区公共设施（款）其他城乡社区公共设施支出（项）。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年初预算为0万元，支出决算为9.4万元，决算数大于年初预算数的主要原因是：上级部门追加资金，不需要调整年初预算。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44、城乡社区支出(类）城乡社区环境卫生（款）城乡社区环境卫生（项）。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年初预算为0万元，支出决算为7.3万元，决算数大于年初预算数的主要原因是：上级部门追加资金，不需要调整年初预算。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45、城乡社区支出(类）建设市场管理与监督（款）建设市场管理与监督（项）。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年初预算为0万元，支出决算为33.14万元，决算数大于年初预算数的主要原因是：上级部门追加资金，不需要调整年初预算。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46、城乡社区支出(类）其他城乡社区支出（款）其他城乡社区支出（项）。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年初预算为0万元，支出决算为30万元，决算数大于年初预算数的主要原因是：上级部门追加资金，不需要调整年初预算。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47、农林水支出(类）农业农村（款）行政运行（项）。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年初预算为1652.59万元，支出决算为1773.26万元，完成年初预算的107.3%，决算数大于年初预算数的主要原因是：行政单位离退休支出在本科目核算。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48、农林水支出(类）农业农村（款）一般行政管理事务（项）。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年初预算为2914.34万元，支出决算为2178.36万元，完成年初预算的74.75%，决算数小于年初预算数的主要原因是：上级各线各部门专项资金部分未在本科目核算。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49、农林水支出(类）农业农村（款）农产品质量安全（项）。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年初预算为0万元，支出决算为5万元，决算数大于年初预算数的主要原因是：上级部门追加资金，不需要调整年初预算。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50、农林水支出(类）农业农村（款）农村社会事业（项）。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年初预算为0万元，支出决算为32.2万元，决算数大于年初预算数的主要原因是：上级部门追加资金，不需要调整年初预算。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51、农林水支出(类）农业农村（款）其他农业农村支出（项）。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年初预算为0万元，支出决算为370.33万元，决算数大于年初预算数的主要原因是：上级部门追加资金，不需要调整年初预算。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52、农林水支出(类）林业和草原（款）森林生态效益补偿（项）。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年初预算为0万元，支出决算为1.63万元，决算数大于年初预算数的主要原因是：上级部门追加资金，不需要调整年初预算。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53、农林水支出(类）林业和草原（款）其他林业和草原支出（项）。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年初预算为0万元，支出决算为17.01万元，决算数大于年初预算数的主要原因是：上级部门追加资金，不需要调整年初预算。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54、农林水支出（类）水利（款）其他水利支出（项）。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年初预算为0万元，支出决算为111.98万元，决算数大于年初预算数的主要原因是：上级部门追加资金，不需要调整年初预算。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55、农林水支出（类）农村综合改革（款）对村民委员会和村党支部的补助（项）。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年初预算为为0万元，支出决算为60万元，决算数大于年初预算数的主要原因是：上级部门追加资金，不需要调整年初预算。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56、住房保障支出（类）住房改革支出（款）住房公积金（项）。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年初预算为116.49万元，支出决算为96.81万，完成年初预算的83.11%，决算数小于年初预算数的主要原因是：该类支出部分在科目2130101核算。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57、灾害防治及应急管理支出（类）应急管理事务（款）一般行政管理事务（项）。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年初预算为0万元，支出决算为4万，决算数大于年初预算数的主要原因是：上级部门追加资金，不需要调整年初预算。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58、灾害防治及应急管理支出（类）消防事务（款）消防应急救援（项）。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年初预算为0万元，支出决算为3.34万，决算数大于年初预算数的主要原因是：上级部门追加资金，不需要调整年初预算。</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财政拨款基本支出1894.98万元，其中：人员经费1724.67万元，占基本支出的91.01%,主要包括基本工资、津贴补贴、奖金、机关事业单位基本养老保险缴费、职业年金缴费、职工基本医疗保险缴费、公务员医疗补助缴费、其他社会保障缴费、住房公积金、退休费、生活补助等；公用经费170.31万元，占基本支出的8.99%，主要包括办公费、印刷费、水费、电费、邮电费、工会经费等。</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“三公”经费财政拨款支出预算为3万元，支出决算为0万元，其中：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因公出国（境）费支出预算为0万元，支出决算为0万元，完成预算的100%，决算数与年初预算数持平，主要原因按预算执行，与上年数持平，主要原因本年度未安排因公出国（境）。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接待费支出预算3万元，支出决算为0万元，完成预算的0%，决算数小于年初预算数，主要原因是认真贯彻落实中央八项规定精神和厉行节约要求，进一步从严控制“三公”经费开支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公务用车购置费及运行维护费支出预算为0万元，支出决算为0万元，完成预算的100%，决算数与年初预算数持平主要原因按预算执行，与上年数持平，主要原因是厉行节约，减少开支。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2020年度“三公”经费财政拨款支出决算中，公务接待费支出决算0万元，占0%,因公出国（境）费支出决算0万元，占0 %,公务用车购置费及运行维护费支出决算0万元，占0 %。其中：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default" w:ascii="仿宋" w:hAnsi="仿宋" w:eastAsia="仿宋" w:cs="仿宋"/>
          <w:color w:val="auto"/>
          <w:kern w:val="2"/>
          <w:sz w:val="32"/>
          <w:szCs w:val="32"/>
          <w:u w:val="none"/>
          <w:lang w:val="en-US" w:eastAsia="zh-CN" w:bidi="ar-SA"/>
        </w:rPr>
      </w:pPr>
      <w:r>
        <w:rPr>
          <w:rFonts w:hint="default" w:ascii="仿宋" w:hAnsi="仿宋" w:eastAsia="仿宋" w:cs="仿宋"/>
          <w:color w:val="auto"/>
          <w:kern w:val="2"/>
          <w:sz w:val="32"/>
          <w:szCs w:val="32"/>
          <w:lang w:val="en-US" w:eastAsia="zh-CN" w:bidi="ar-SA"/>
        </w:rPr>
        <w:t>1、因公出国（境）费支出决算为0万元</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全年安排因公出</w:t>
      </w:r>
      <w:r>
        <w:rPr>
          <w:rFonts w:hint="eastAsia" w:ascii="仿宋" w:hAnsi="仿宋" w:eastAsia="仿宋" w:cs="仿宋"/>
          <w:color w:val="auto"/>
          <w:sz w:val="32"/>
          <w:szCs w:val="32"/>
          <w:u w:val="none"/>
        </w:rPr>
        <w:t>国（境）团组</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个，累计</w:t>
      </w:r>
      <w:r>
        <w:rPr>
          <w:rFonts w:hint="eastAsia" w:ascii="仿宋" w:hAnsi="仿宋" w:eastAsia="仿宋" w:cs="仿宋"/>
          <w:color w:val="auto"/>
          <w:sz w:val="32"/>
          <w:szCs w:val="32"/>
          <w:u w:val="none"/>
          <w:lang w:val="en-US" w:eastAsia="zh-CN"/>
        </w:rPr>
        <w:t>0</w:t>
      </w:r>
      <w:r>
        <w:rPr>
          <w:rFonts w:hint="eastAsia" w:ascii="仿宋" w:hAnsi="仿宋" w:eastAsia="仿宋" w:cs="仿宋"/>
          <w:color w:val="auto"/>
          <w:sz w:val="32"/>
          <w:szCs w:val="32"/>
          <w:u w:val="none"/>
        </w:rPr>
        <w:t>人次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无开支内容。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auto"/>
          <w:sz w:val="32"/>
          <w:szCs w:val="32"/>
          <w:lang w:val="en-US" w:eastAsia="zh-CN"/>
        </w:rPr>
      </w:pPr>
      <w:r>
        <w:rPr>
          <w:rFonts w:hint="default" w:ascii="仿宋" w:hAnsi="仿宋" w:eastAsia="仿宋" w:cs="仿宋"/>
          <w:color w:val="auto"/>
          <w:kern w:val="2"/>
          <w:sz w:val="32"/>
          <w:szCs w:val="32"/>
          <w:lang w:val="en-US" w:eastAsia="zh-CN" w:bidi="ar-SA"/>
        </w:rPr>
        <w:t>2、公务接待费支出决算为0万元</w:t>
      </w:r>
      <w:r>
        <w:rPr>
          <w:rFonts w:hint="eastAsia" w:ascii="仿宋" w:hAnsi="仿宋" w:eastAsia="仿宋" w:cs="仿宋"/>
          <w:color w:val="auto"/>
          <w:kern w:val="2"/>
          <w:sz w:val="32"/>
          <w:szCs w:val="32"/>
          <w:lang w:val="en-US" w:eastAsia="zh-CN" w:bidi="ar-SA"/>
        </w:rPr>
        <w:t>，</w:t>
      </w:r>
      <w:r>
        <w:rPr>
          <w:rFonts w:hint="eastAsia" w:ascii="仿宋" w:hAnsi="仿宋" w:eastAsia="仿宋" w:cs="仿宋"/>
          <w:color w:val="auto"/>
          <w:sz w:val="32"/>
          <w:szCs w:val="32"/>
        </w:rPr>
        <w:t>全年共接待来访团组</w:t>
      </w:r>
      <w:r>
        <w:rPr>
          <w:rFonts w:hint="eastAsia" w:ascii="仿宋" w:hAnsi="仿宋" w:eastAsia="仿宋" w:cs="仿宋"/>
          <w:color w:val="auto"/>
          <w:sz w:val="32"/>
          <w:szCs w:val="32"/>
          <w:lang w:val="en-US" w:eastAsia="zh-CN"/>
        </w:rPr>
        <w:t>0个</w:t>
      </w:r>
      <w:r>
        <w:rPr>
          <w:rFonts w:hint="eastAsia" w:ascii="仿宋" w:hAnsi="仿宋" w:eastAsia="仿宋" w:cs="仿宋"/>
          <w:color w:val="auto"/>
          <w:sz w:val="32"/>
          <w:szCs w:val="32"/>
        </w:rPr>
        <w:t>、来宾</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人次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未安排公务接待。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3、公务用车购置费及运行维护费支出决算为0万元，其中：公务用车购置费0万元，更新公务用车0辆。公务用车运行维护费0万元，截至2020年12月31日，我单位开支财政拨款的公务用车保有量为0辆。</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2020年度政府性基金预算财政拨款收入0万元；年初结转和结余15万元；支出0万元，其中基本支出0万元，项目支出0万元；年末结转和结余15万元。</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年度，本单位贯彻落实中央省市区的相关要求，进一步健全预算决策机制，完善内部控制制度建设，强化固定资产的日常管理，及时进行预算和决算的公开，强化财政支出管理，规范财政支出行为，规范资金管理行为，提高财政资金使用效率，全面提升预算绩效管理工作的水平，街道本年较好完成了绩效目标。</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hAnsi="黑体" w:cs="Times New Roman"/>
          <w:color w:val="auto"/>
          <w:sz w:val="32"/>
          <w:szCs w:val="32"/>
          <w:lang w:val="en-US" w:eastAsia="zh-CN"/>
        </w:rPr>
      </w:pPr>
      <w:r>
        <w:rPr>
          <w:rFonts w:hint="eastAsia" w:hAnsi="黑体" w:cs="Times New Roman"/>
          <w:color w:val="auto"/>
          <w:sz w:val="32"/>
          <w:szCs w:val="32"/>
          <w:lang w:val="en-US" w:eastAsia="zh-CN"/>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本部门2020年度机关运行经费支出170.31万元，比年初预算数减少84.43万元，降低33.14 %。主要原因是：贯彻落实中央八项规定精神和厉行节约的要求，办公费、三公经费等开支缩减。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2020年本部门开支会议费8.36万元，全部为项目支出，用于召开党建工作推进会，人数160人，内容围绕书记上党课，加强党员教育，督促党员增强四个意识展开；用于召开党建主题活动会议，人数230人，内容为传承好家风好家训、共建新时代文明家庭；开支培训费3.38万元，全部为项目支出，用于开展统计员培训、消防安全培训、全国人口普查培训、内审培训和禁毒业务培训，人数352人；无三类会议、培训活动、节庆、晚会、论坛、赛事等经费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本部门2020年度政府采购支出总额532.6万元，其中：政府采购货物支出17.6万元、政府采购工程支出0万元、政府采购服务支出515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keepNext w:val="0"/>
        <w:keepLines w:val="0"/>
        <w:pageBreakBefore w:val="0"/>
        <w:widowControl/>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（一）基本支出：指为保障机构正常运转、完成日常工作任务而发生的人员支出和公用支出。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（二）项目支出：指在基本支出之外为完成特定行政任务和事业发展目标所发生的支出。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keepNext w:val="0"/>
        <w:keepLines w:val="0"/>
        <w:pageBreakBefore w:val="0"/>
        <w:numPr>
          <w:ilvl w:val="0"/>
          <w:numId w:val="3"/>
        </w:numPr>
        <w:kinsoku/>
        <w:wordWrap/>
        <w:overflowPunct/>
        <w:topLinePunct w:val="0"/>
        <w:bidi w:val="0"/>
        <w:snapToGrid/>
        <w:spacing w:line="600" w:lineRule="exact"/>
        <w:ind w:firstLine="880" w:firstLineChars="20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widowControl/>
        <w:kinsoku/>
        <w:wordWrap/>
        <w:overflowPunct/>
        <w:topLinePunct w:val="0"/>
        <w:bidi w:val="0"/>
        <w:snapToGrid/>
        <w:spacing w:line="60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0" w:afterAutospacing="0" w:line="600" w:lineRule="exact"/>
        <w:ind w:left="0" w:right="0" w:firstLine="640" w:firstLineChars="200"/>
        <w:jc w:val="left"/>
        <w:textAlignment w:val="auto"/>
        <w:rPr>
          <w:rFonts w:hint="eastAsia" w:ascii="仿宋" w:hAnsi="仿宋" w:eastAsia="仿宋" w:cs="仿宋"/>
          <w:color w:val="000000"/>
          <w:kern w:val="0"/>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000000"/>
          <w:kern w:val="0"/>
          <w:sz w:val="32"/>
          <w:szCs w:val="32"/>
          <w:lang w:val="en-US" w:eastAsia="zh-CN" w:bidi="ar-SA"/>
        </w:rPr>
      </w:pP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F1117867"/>
    <w:multiLevelType w:val="singleLevel"/>
    <w:tmpl w:val="F1117867"/>
    <w:lvl w:ilvl="0" w:tentative="0">
      <w:start w:val="8"/>
      <w:numFmt w:val="decimal"/>
      <w:suff w:val="nothing"/>
      <w:lvlText w:val="%1、"/>
      <w:lvlJc w:val="left"/>
    </w:lvl>
  </w:abstractNum>
  <w:abstractNum w:abstractNumId="2">
    <w:nsid w:val="6FF4F742"/>
    <w:multiLevelType w:val="singleLevel"/>
    <w:tmpl w:val="6FF4F742"/>
    <w:lvl w:ilvl="0" w:tentative="0">
      <w:start w:val="2"/>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mVlZWE1YThmOTUxYzdmMmU4OWMyMmJiMWY5ZTgifQ=="/>
  </w:docVars>
  <w:rsids>
    <w:rsidRoot w:val="00000000"/>
    <w:rsid w:val="08AB679B"/>
    <w:rsid w:val="0F592105"/>
    <w:rsid w:val="1A076A41"/>
    <w:rsid w:val="1A5A4883"/>
    <w:rsid w:val="1ADC07CA"/>
    <w:rsid w:val="1F160D12"/>
    <w:rsid w:val="22364404"/>
    <w:rsid w:val="2A5E52BE"/>
    <w:rsid w:val="307835DE"/>
    <w:rsid w:val="3231600F"/>
    <w:rsid w:val="44331BE2"/>
    <w:rsid w:val="47AC7FCD"/>
    <w:rsid w:val="49151628"/>
    <w:rsid w:val="4E9A7F3B"/>
    <w:rsid w:val="503A1B67"/>
    <w:rsid w:val="73DB1510"/>
    <w:rsid w:val="75E1080B"/>
    <w:rsid w:val="7E8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9183</Words>
  <Characters>9866</Characters>
  <Lines>0</Lines>
  <Paragraphs>0</Paragraphs>
  <TotalTime>41</TotalTime>
  <ScaleCrop>false</ScaleCrop>
  <LinksUpToDate>false</LinksUpToDate>
  <CharactersWithSpaces>9877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硕妞</cp:lastModifiedBy>
  <dcterms:modified xsi:type="dcterms:W3CDTF">2022-08-19T01:53:43Z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782BC0498B39471493E431FCEF4CA0E6</vt:lpwstr>
  </property>
</Properties>
</file>