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2021年长沙市开福区青竹湖街道部门预算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hint="eastAsia" w:ascii="仿宋" w:hAnsi="仿宋" w:eastAsia="仿宋" w:cs="仿宋"/>
          <w:b/>
          <w:sz w:val="32"/>
          <w:szCs w:val="32"/>
        </w:rPr>
      </w:pPr>
      <w:r>
        <w:rPr>
          <w:rFonts w:hint="eastAsia" w:ascii="仿宋" w:hAnsi="仿宋" w:eastAsia="仿宋" w:cs="仿宋"/>
          <w:b/>
          <w:sz w:val="32"/>
          <w:szCs w:val="32"/>
        </w:rPr>
        <w:t>（一）职能职责</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（1）负责党的路线、方针、政策和政府的法令、法规、各项工作任务在本地区的贯彻落实并督促检查执行情况；</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（2）负责党的基层建设、党风廉政建设以及党员教育工作，负责街道干部的培养、考核、推荐工作；</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（3）组织领导协调本辖区精神文明建设，深入开展创建文明城市、争当文明市民系列活动，不断提高居民群众文明道德水准；</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（4）主管辖区内城市管理工作，为居民群众创造一个清洁、卫生、舒适的工作和生活环境，指导辖区各单位、社区居委会开展爱国卫生运动，组织查处违反城市管理法规的行为；</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（5）研究制定街道经济、科技发展规划并组织实施，加强对街道经济的宏观管理，培植财源，协税护税，发展街道经济，增加财政收入；</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（6）负责辖区内卫生与生育保健服务工作，管理流动人口和暂住人口；</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（7）指导各社区居委会工作，抓好基层政权建设；</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（8）负责本地区社会治安综合治理和普法宣教工作，维护本地区社会秩序，保证辖区社会稳定；</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（9优化社会服务，繁荣社区文化，丰富社区居民生活，负责征兵、民兵整组工作和预备役军官授衔的初审工作；</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（10）实施“三法一纲要”（《教师法》《教育法》《义务教育法》《中国教育改革和发展纲要》），维护学校正常教学秩序和教职工的合法权益；</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（11）完成区委、区政府交办的其它工作。</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（二）机构设置。</w:t>
      </w:r>
      <w:r>
        <w:rPr>
          <w:rFonts w:hint="eastAsia" w:ascii="仿宋" w:hAnsi="仿宋" w:eastAsia="仿宋" w:cs="仿宋"/>
          <w:bCs/>
          <w:sz w:val="32"/>
          <w:szCs w:val="32"/>
        </w:rPr>
        <w:t>本街道由七个部门两个中心及一个二级机构组成，部门、中心及二级机构包括：基层党建办、党政综合办、公共安全办、城市管理办、公共服务办、财政所、纪工委、街道政务服务中心、街道网格化综合服务中心、青竹湖水利管理所。</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本部门编制数50人，在职人数93人，其中：在岗人数50人；编外长期聘用人员43人；离退休人数17人，其中离休人员0人，退休人员17人。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青竹湖街道只有本级，没有其他二级预算单位，因此，纳入2021年部门预算编制范围的只有青竹湖街道本级。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2021年部门预算为本级预算情况。收入既包括一般公共预算收入，又包括其他收入；支出既包括保障机关基本运行的经费，也包括单位为完成特定行政工作任务或事业发展目标而发生的专项经费支出和其他支出等。</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（一）收入预算：</w:t>
      </w:r>
      <w:r>
        <w:rPr>
          <w:rFonts w:hint="eastAsia" w:ascii="仿宋" w:hAnsi="仿宋" w:eastAsia="仿宋" w:cs="仿宋"/>
          <w:bCs/>
          <w:sz w:val="32"/>
          <w:szCs w:val="32"/>
        </w:rPr>
        <w:t>2021年年初预算数5110.3万元，其中，一般公共预算拨款2931万元，纳入专户管理的非税收入200万元，其他收入1961万元（上级部门专项拨款），上年结转18.3万元。收入较去年增加339.3万元，</w:t>
      </w:r>
      <w:r>
        <w:rPr>
          <w:rFonts w:hint="eastAsia" w:ascii="仿宋" w:hAnsi="仿宋" w:eastAsia="仿宋" w:cs="仿宋"/>
          <w:bCs/>
          <w:color w:val="000000" w:themeColor="text1"/>
          <w:sz w:val="32"/>
          <w:szCs w:val="32"/>
          <w14:textFill>
            <w14:solidFill>
              <w14:schemeClr w14:val="tx1"/>
            </w14:solidFill>
          </w14:textFill>
        </w:rPr>
        <w:t>增长7.11%，主要是一般公共预算拨款和其他收入增加，主要</w:t>
      </w:r>
      <w:r>
        <w:rPr>
          <w:rFonts w:hint="eastAsia" w:ascii="仿宋" w:hAnsi="仿宋" w:eastAsia="仿宋" w:cs="仿宋"/>
          <w:bCs/>
          <w:sz w:val="32"/>
          <w:szCs w:val="32"/>
        </w:rPr>
        <w:t>原因是人员经费增加、各项社会性事务的投入增加。</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（二）支出预算：</w:t>
      </w:r>
      <w:r>
        <w:rPr>
          <w:rFonts w:hint="eastAsia" w:ascii="仿宋" w:hAnsi="仿宋" w:eastAsia="仿宋" w:cs="仿宋"/>
          <w:bCs/>
          <w:sz w:val="32"/>
          <w:szCs w:val="32"/>
        </w:rPr>
        <w:t>2021年支出预算数5110.3万元，其中，</w:t>
      </w:r>
      <w:r>
        <w:rPr>
          <w:rFonts w:hint="eastAsia" w:ascii="仿宋" w:hAnsi="仿宋" w:eastAsia="仿宋" w:cs="仿宋"/>
          <w:bCs/>
          <w:sz w:val="32"/>
          <w:szCs w:val="32"/>
          <w:lang w:val="en-US" w:eastAsia="zh-CN"/>
        </w:rPr>
        <w:t>农林水</w:t>
      </w:r>
      <w:r>
        <w:rPr>
          <w:rFonts w:hint="eastAsia" w:ascii="仿宋" w:hAnsi="仿宋" w:eastAsia="仿宋" w:cs="仿宋"/>
          <w:bCs/>
          <w:sz w:val="32"/>
          <w:szCs w:val="32"/>
        </w:rPr>
        <w:t>支出</w:t>
      </w:r>
      <w:r>
        <w:rPr>
          <w:rFonts w:ascii="仿宋" w:hAnsi="仿宋" w:eastAsia="仿宋" w:cs="仿宋"/>
          <w:bCs/>
          <w:sz w:val="32"/>
          <w:szCs w:val="32"/>
        </w:rPr>
        <w:t>4877.78</w:t>
      </w:r>
      <w:r>
        <w:rPr>
          <w:rFonts w:hint="eastAsia" w:ascii="仿宋" w:hAnsi="仿宋" w:eastAsia="仿宋" w:cs="仿宋"/>
          <w:bCs/>
          <w:sz w:val="32"/>
          <w:szCs w:val="32"/>
        </w:rPr>
        <w:t>万元，</w:t>
      </w:r>
      <w:r>
        <w:rPr>
          <w:rFonts w:hint="eastAsia" w:ascii="仿宋" w:hAnsi="仿宋" w:eastAsia="仿宋" w:cs="仿宋"/>
          <w:bCs/>
          <w:sz w:val="32"/>
          <w:szCs w:val="32"/>
          <w:lang w:val="en-US" w:eastAsia="zh-CN"/>
        </w:rPr>
        <w:t>社会保障和就业</w:t>
      </w:r>
      <w:r>
        <w:rPr>
          <w:rFonts w:hint="eastAsia" w:ascii="仿宋" w:hAnsi="仿宋" w:eastAsia="仿宋" w:cs="仿宋"/>
          <w:bCs/>
          <w:sz w:val="32"/>
          <w:szCs w:val="32"/>
        </w:rPr>
        <w:t>支出117.39万元，住房公积金支出115.13万元。本年支出预算数比上年增加339.3万元，增长7.11%，主要原因是人员经费增加、各项社会性事务的投入增加。</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仿宋_GB2312"/>
          <w:sz w:val="32"/>
          <w:szCs w:val="32"/>
        </w:rPr>
      </w:pPr>
      <w:r>
        <w:rPr>
          <w:rFonts w:hint="eastAsia" w:ascii="仿宋" w:hAnsi="仿宋" w:eastAsia="仿宋" w:cs="仿宋"/>
          <w:bCs/>
          <w:sz w:val="32"/>
          <w:szCs w:val="32"/>
        </w:rPr>
        <w:t>2021年一般公共预算拨款收入3131万元，其中，社会保障和就业117.39万元，占3.75%；农业水林支出2898.48万元，占92.57%；住房保障支出115.13万元，占3.68%；具体安排情况如下：</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（一）基本支出：</w:t>
      </w:r>
      <w:r>
        <w:rPr>
          <w:rFonts w:hint="eastAsia" w:ascii="仿宋" w:hAnsi="仿宋" w:eastAsia="仿宋" w:cs="仿宋"/>
          <w:bCs/>
          <w:sz w:val="32"/>
          <w:szCs w:val="32"/>
        </w:rPr>
        <w:t>2021年预算数为1961.39万元，是指为保障单位机构正常运转、完成日常工作任务而发生的各项支出，包括用于基本工资、津贴补贴等人员经费以及办公费、印刷费、水电费、办公设备购置等日常公用经费。</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（二）项目支出：</w:t>
      </w:r>
      <w:r>
        <w:rPr>
          <w:rFonts w:hint="eastAsia" w:ascii="仿宋" w:hAnsi="仿宋" w:eastAsia="仿宋" w:cs="仿宋"/>
          <w:bCs/>
          <w:sz w:val="32"/>
          <w:szCs w:val="32"/>
        </w:rPr>
        <w:t>2021年预算数为1169.61万元，是指单位为完成特定行政工作任务或事业发展目标而发生的支出，包括：城市管理事务专项经费173万元，主要用于城管爱卫、蓝天保卫及环保、网格化事务、交通、农业、市场监管、规划建设、物业等各项工作；党政综合事务专项经费30万元，主要用于街道日常事务；公共安全事务专项经费125万元，主要用于综治、消防、安监、防汛抗旱、森林防火及人民武装等各项工作；公共服务事务专项经费135万元，主要用于社会事务、退役军人服务、卫计、文教、财经及政务服务等各项工作；基层党建事务专项经费97.54万元，主要用于党建、纪检、宣传、人大、政协、文明创建等各项工作；其他事务专项经费609.07万元，主要用于各线聘用人员经费及预备费。</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（一）机关运行经费：</w:t>
      </w:r>
      <w:r>
        <w:rPr>
          <w:rFonts w:hint="eastAsia" w:ascii="仿宋" w:hAnsi="仿宋" w:eastAsia="仿宋" w:cs="仿宋"/>
          <w:bCs/>
          <w:sz w:val="32"/>
          <w:szCs w:val="32"/>
        </w:rPr>
        <w:t>2021年街道机关运行经费财政拨款预算213.89万元，</w:t>
      </w:r>
      <w:r>
        <w:rPr>
          <w:rFonts w:hint="eastAsia" w:ascii="仿宋" w:hAnsi="仿宋" w:eastAsia="仿宋" w:cs="仿宋"/>
          <w:sz w:val="32"/>
          <w:szCs w:val="32"/>
        </w:rPr>
        <w:t>比上年预算</w:t>
      </w:r>
      <w:r>
        <w:rPr>
          <w:rFonts w:hint="eastAsia" w:ascii="仿宋" w:hAnsi="仿宋" w:eastAsia="仿宋" w:cs="仿宋"/>
          <w:bCs/>
          <w:sz w:val="32"/>
          <w:szCs w:val="32"/>
        </w:rPr>
        <w:t>减少40.85万元，下降16.04%，主要原因是管委会人员编制转出减少部分运行经费。</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highlight w:val="none"/>
        </w:rPr>
      </w:pPr>
      <w:r>
        <w:rPr>
          <w:rFonts w:hint="eastAsia" w:ascii="仿宋" w:hAnsi="仿宋" w:eastAsia="仿宋" w:cs="仿宋"/>
          <w:b/>
          <w:sz w:val="32"/>
          <w:szCs w:val="32"/>
        </w:rPr>
        <w:t>（二）“三公”经费预算：</w:t>
      </w:r>
      <w:r>
        <w:rPr>
          <w:rFonts w:hint="eastAsia" w:ascii="仿宋" w:hAnsi="仿宋" w:eastAsia="仿宋" w:cs="仿宋"/>
          <w:bCs/>
          <w:sz w:val="32"/>
          <w:szCs w:val="32"/>
        </w:rPr>
        <w:t>2021年“三公”经费预算数为3万元，其中，公务接待费3万元，</w:t>
      </w:r>
      <w:r>
        <w:rPr>
          <w:rFonts w:hint="eastAsia" w:ascii="仿宋" w:hAnsi="仿宋" w:eastAsia="仿宋" w:cs="仿宋"/>
          <w:sz w:val="32"/>
          <w:szCs w:val="32"/>
        </w:rPr>
        <w:t>公务用车购置及运行费</w:t>
      </w:r>
      <w:r>
        <w:rPr>
          <w:rFonts w:ascii="仿宋" w:hAnsi="仿宋" w:eastAsia="仿宋" w:cs="仿宋"/>
          <w:sz w:val="32"/>
          <w:szCs w:val="32"/>
        </w:rPr>
        <w:t>0</w:t>
      </w:r>
      <w:r>
        <w:rPr>
          <w:rFonts w:hint="eastAsia" w:ascii="仿宋" w:hAnsi="仿宋" w:eastAsia="仿宋" w:cs="仿宋"/>
          <w:sz w:val="32"/>
          <w:szCs w:val="32"/>
        </w:rPr>
        <w:t>万元（其中，公务用车购置费</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0</w:t>
      </w:r>
      <w:r>
        <w:rPr>
          <w:rFonts w:hint="eastAsia" w:ascii="仿宋" w:hAnsi="仿宋" w:eastAsia="仿宋" w:cs="仿宋"/>
          <w:sz w:val="32"/>
          <w:szCs w:val="32"/>
        </w:rPr>
        <w:t>万元），因公出国（境）费</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bCs/>
          <w:sz w:val="32"/>
          <w:szCs w:val="32"/>
        </w:rPr>
        <w:t>2021年“三公”经费预算与2020年持平，</w:t>
      </w:r>
      <w:r>
        <w:rPr>
          <w:rFonts w:hint="eastAsia" w:ascii="仿宋" w:hAnsi="仿宋" w:eastAsia="仿宋" w:cs="仿宋"/>
          <w:sz w:val="32"/>
          <w:szCs w:val="32"/>
          <w:highlight w:val="none"/>
        </w:rPr>
        <w:t>主要是</w:t>
      </w:r>
      <w:r>
        <w:rPr>
          <w:rFonts w:hint="eastAsia" w:ascii="仿宋" w:hAnsi="仿宋" w:eastAsia="仿宋" w:cs="仿宋"/>
          <w:sz w:val="32"/>
          <w:szCs w:val="32"/>
          <w:highlight w:val="none"/>
          <w:lang w:eastAsia="zh-CN"/>
        </w:rPr>
        <w:t>无公务接待费支出</w:t>
      </w:r>
      <w:r>
        <w:rPr>
          <w:rFonts w:hint="eastAsia" w:ascii="仿宋" w:hAnsi="仿宋" w:eastAsia="仿宋" w:cs="仿宋"/>
          <w:bCs/>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
          <w:sz w:val="32"/>
          <w:szCs w:val="32"/>
          <w:highlight w:val="none"/>
        </w:rPr>
      </w:pPr>
      <w:r>
        <w:rPr>
          <w:rFonts w:hint="eastAsia" w:ascii="仿宋" w:hAnsi="仿宋" w:eastAsia="仿宋" w:cs="仿宋"/>
          <w:b/>
          <w:sz w:val="32"/>
          <w:szCs w:val="32"/>
          <w:highlight w:val="none"/>
        </w:rPr>
        <w:t>（三）一般性支出情况：2021</w:t>
      </w:r>
      <w:r>
        <w:rPr>
          <w:rFonts w:hint="eastAsia" w:ascii="仿宋" w:hAnsi="仿宋" w:eastAsia="仿宋" w:cs="仿宋"/>
          <w:kern w:val="0"/>
          <w:sz w:val="32"/>
          <w:szCs w:val="32"/>
          <w:highlight w:val="none"/>
        </w:rPr>
        <w:t>年本部门会议费预算</w:t>
      </w:r>
      <w:r>
        <w:rPr>
          <w:rFonts w:hint="eastAsia" w:ascii="仿宋" w:hAnsi="仿宋" w:eastAsia="仿宋" w:cs="仿宋"/>
          <w:sz w:val="32"/>
          <w:szCs w:val="32"/>
          <w:highlight w:val="none"/>
          <w:u w:val="none"/>
          <w:lang w:val="en-US" w:eastAsia="zh-CN"/>
        </w:rPr>
        <w:t>8</w:t>
      </w:r>
      <w:r>
        <w:rPr>
          <w:rFonts w:hint="eastAsia" w:ascii="仿宋" w:hAnsi="仿宋" w:eastAsia="仿宋" w:cs="仿宋"/>
          <w:kern w:val="0"/>
          <w:sz w:val="32"/>
          <w:szCs w:val="32"/>
          <w:highlight w:val="none"/>
        </w:rPr>
        <w:t>万元，拟召开</w:t>
      </w:r>
      <w:r>
        <w:rPr>
          <w:rFonts w:hint="eastAsia" w:ascii="仿宋" w:hAnsi="仿宋" w:eastAsia="仿宋" w:cs="仿宋"/>
          <w:kern w:val="0"/>
          <w:sz w:val="32"/>
          <w:szCs w:val="32"/>
          <w:highlight w:val="none"/>
          <w:lang w:val="en-US" w:eastAsia="zh-CN"/>
        </w:rPr>
        <w:t>2次</w:t>
      </w:r>
      <w:r>
        <w:rPr>
          <w:rFonts w:hint="eastAsia" w:ascii="仿宋" w:hAnsi="仿宋" w:eastAsia="仿宋" w:cs="仿宋"/>
          <w:kern w:val="0"/>
          <w:sz w:val="32"/>
          <w:szCs w:val="32"/>
          <w:highlight w:val="none"/>
        </w:rPr>
        <w:t>会议，人数</w:t>
      </w:r>
      <w:r>
        <w:rPr>
          <w:rFonts w:hint="eastAsia" w:ascii="仿宋" w:hAnsi="仿宋" w:eastAsia="仿宋" w:cs="仿宋"/>
          <w:kern w:val="0"/>
          <w:sz w:val="32"/>
          <w:szCs w:val="32"/>
          <w:highlight w:val="none"/>
          <w:lang w:val="en-US" w:eastAsia="zh-CN"/>
        </w:rPr>
        <w:t>200</w:t>
      </w:r>
      <w:r>
        <w:rPr>
          <w:rFonts w:hint="eastAsia" w:ascii="仿宋" w:hAnsi="仿宋" w:eastAsia="仿宋" w:cs="仿宋"/>
          <w:kern w:val="0"/>
          <w:sz w:val="32"/>
          <w:szCs w:val="32"/>
          <w:highlight w:val="none"/>
        </w:rPr>
        <w:t>人</w:t>
      </w:r>
      <w:r>
        <w:rPr>
          <w:rFonts w:hint="eastAsia" w:ascii="仿宋" w:hAnsi="仿宋" w:eastAsia="仿宋" w:cs="仿宋"/>
          <w:kern w:val="0"/>
          <w:sz w:val="32"/>
          <w:szCs w:val="32"/>
          <w:highlight w:val="none"/>
          <w:lang w:eastAsia="zh-CN"/>
        </w:rPr>
        <w:t>左右</w:t>
      </w:r>
      <w:r>
        <w:rPr>
          <w:rFonts w:hint="eastAsia" w:ascii="仿宋" w:hAnsi="仿宋" w:eastAsia="仿宋" w:cs="仿宋"/>
          <w:kern w:val="0"/>
          <w:sz w:val="32"/>
          <w:szCs w:val="32"/>
          <w:highlight w:val="none"/>
        </w:rPr>
        <w:t>，内容为</w:t>
      </w:r>
      <w:r>
        <w:rPr>
          <w:rFonts w:hint="eastAsia" w:ascii="仿宋" w:hAnsi="仿宋" w:eastAsia="仿宋" w:cs="仿宋"/>
          <w:kern w:val="0"/>
          <w:sz w:val="32"/>
          <w:szCs w:val="32"/>
          <w:highlight w:val="none"/>
          <w:lang w:eastAsia="zh-CN"/>
        </w:rPr>
        <w:t>年度目标管理考核表彰大会和基层组织书记述职会议</w:t>
      </w:r>
      <w:r>
        <w:rPr>
          <w:rFonts w:hint="eastAsia" w:ascii="仿宋" w:hAnsi="仿宋" w:eastAsia="仿宋" w:cs="仿宋"/>
          <w:kern w:val="0"/>
          <w:sz w:val="32"/>
          <w:szCs w:val="32"/>
          <w:highlight w:val="none"/>
        </w:rPr>
        <w:t>；培训费预算</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万元，拟开展</w:t>
      </w:r>
      <w:r>
        <w:rPr>
          <w:rFonts w:hint="eastAsia" w:ascii="仿宋" w:hAnsi="仿宋" w:eastAsia="仿宋" w:cs="仿宋"/>
          <w:kern w:val="0"/>
          <w:sz w:val="32"/>
          <w:szCs w:val="32"/>
          <w:highlight w:val="none"/>
          <w:lang w:val="en-US" w:eastAsia="zh-CN"/>
        </w:rPr>
        <w:t>2次</w:t>
      </w:r>
      <w:r>
        <w:rPr>
          <w:rFonts w:hint="eastAsia" w:ascii="仿宋" w:hAnsi="仿宋" w:eastAsia="仿宋" w:cs="仿宋"/>
          <w:kern w:val="0"/>
          <w:sz w:val="32"/>
          <w:szCs w:val="32"/>
          <w:highlight w:val="none"/>
        </w:rPr>
        <w:t>培训，人数</w:t>
      </w:r>
      <w:r>
        <w:rPr>
          <w:rFonts w:hint="eastAsia" w:ascii="仿宋" w:hAnsi="仿宋" w:eastAsia="仿宋" w:cs="仿宋"/>
          <w:kern w:val="0"/>
          <w:sz w:val="32"/>
          <w:szCs w:val="32"/>
          <w:highlight w:val="none"/>
          <w:lang w:val="en-US" w:eastAsia="zh-CN"/>
        </w:rPr>
        <w:t>10</w:t>
      </w:r>
      <w:r>
        <w:rPr>
          <w:rFonts w:hint="eastAsia" w:ascii="仿宋" w:hAnsi="仿宋" w:eastAsia="仿宋" w:cs="仿宋"/>
          <w:kern w:val="0"/>
          <w:sz w:val="32"/>
          <w:szCs w:val="32"/>
          <w:highlight w:val="none"/>
        </w:rPr>
        <w:t>人，内容为</w:t>
      </w:r>
      <w:r>
        <w:rPr>
          <w:rFonts w:hint="eastAsia" w:ascii="仿宋" w:hAnsi="仿宋" w:eastAsia="仿宋" w:cs="仿宋"/>
          <w:kern w:val="0"/>
          <w:sz w:val="32"/>
          <w:szCs w:val="32"/>
          <w:highlight w:val="none"/>
          <w:lang w:eastAsia="zh-CN"/>
        </w:rPr>
        <w:t>内部审计培训和消防技能比武培训</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无举办</w:t>
      </w:r>
      <w:r>
        <w:rPr>
          <w:rFonts w:hint="eastAsia" w:ascii="仿宋" w:hAnsi="仿宋" w:eastAsia="仿宋" w:cs="仿宋"/>
          <w:kern w:val="0"/>
          <w:sz w:val="32"/>
          <w:szCs w:val="32"/>
          <w:highlight w:val="none"/>
        </w:rPr>
        <w:t>节庆、晚会、论坛、赛事</w:t>
      </w:r>
      <w:r>
        <w:rPr>
          <w:rFonts w:hint="eastAsia" w:ascii="仿宋" w:hAnsi="仿宋" w:eastAsia="仿宋" w:cs="仿宋"/>
          <w:kern w:val="0"/>
          <w:sz w:val="32"/>
          <w:szCs w:val="32"/>
          <w:highlight w:val="none"/>
          <w:lang w:eastAsia="zh-CN"/>
        </w:rPr>
        <w:t>等</w:t>
      </w:r>
      <w:r>
        <w:rPr>
          <w:rFonts w:hint="eastAsia" w:ascii="仿宋" w:hAnsi="仿宋" w:eastAsia="仿宋" w:cs="仿宋"/>
          <w:kern w:val="0"/>
          <w:sz w:val="32"/>
          <w:szCs w:val="32"/>
          <w:highlight w:val="none"/>
        </w:rPr>
        <w:t>活动</w:t>
      </w:r>
      <w:r>
        <w:rPr>
          <w:rFonts w:hint="eastAsia" w:ascii="仿宋" w:hAnsi="仿宋" w:eastAsia="仿宋" w:cs="仿宋"/>
          <w:kern w:val="0"/>
          <w:sz w:val="32"/>
          <w:szCs w:val="32"/>
          <w:highlight w:val="none"/>
          <w:lang w:eastAsia="zh-CN"/>
        </w:rPr>
        <w:t>的安排</w:t>
      </w:r>
      <w:r>
        <w:rPr>
          <w:rFonts w:hint="eastAsia" w:ascii="仿宋" w:hAnsi="仿宋" w:eastAsia="仿宋" w:cs="仿宋"/>
          <w:kern w:val="0"/>
          <w:sz w:val="32"/>
          <w:szCs w:val="32"/>
          <w:highlight w:val="none"/>
        </w:rPr>
        <w:t>。</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（四）政府采购情况：</w:t>
      </w:r>
      <w:r>
        <w:rPr>
          <w:rFonts w:hint="eastAsia" w:ascii="仿宋" w:hAnsi="仿宋" w:eastAsia="仿宋" w:cs="仿宋"/>
          <w:bCs/>
          <w:sz w:val="32"/>
          <w:szCs w:val="32"/>
        </w:rPr>
        <w:t>2021年政府采购预算总额599.51万元，其中，政府采购货物预算为21.33万元，政府采购服务预算578.18万元，政府采购工程预算0万元。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kern w:val="0"/>
          <w:sz w:val="32"/>
          <w:szCs w:val="32"/>
        </w:rPr>
      </w:pPr>
      <w:r>
        <w:rPr>
          <w:rFonts w:hint="eastAsia" w:ascii="仿宋" w:hAnsi="仿宋" w:eastAsia="仿宋" w:cs="仿宋"/>
          <w:b/>
          <w:sz w:val="32"/>
          <w:szCs w:val="32"/>
        </w:rPr>
        <w:t>（五）国有资产占用使用及新增资产配置情况：</w:t>
      </w:r>
      <w:r>
        <w:rPr>
          <w:rFonts w:hint="eastAsia" w:ascii="仿宋" w:hAnsi="仿宋" w:eastAsia="仿宋" w:cs="仿宋"/>
          <w:sz w:val="32"/>
          <w:szCs w:val="32"/>
        </w:rPr>
        <w:t>截至2020年12月底，本部门</w:t>
      </w:r>
      <w:r>
        <w:rPr>
          <w:rFonts w:hint="eastAsia" w:ascii="仿宋" w:hAnsi="仿宋" w:eastAsia="仿宋" w:cs="仿宋"/>
          <w:bCs/>
          <w:kern w:val="0"/>
          <w:sz w:val="32"/>
          <w:szCs w:val="32"/>
        </w:rPr>
        <w:t>共有公务用车</w:t>
      </w:r>
      <w:r>
        <w:rPr>
          <w:rFonts w:ascii="仿宋" w:hAnsi="仿宋" w:eastAsia="仿宋" w:cs="仿宋"/>
          <w:bCs/>
          <w:kern w:val="0"/>
          <w:sz w:val="32"/>
          <w:szCs w:val="32"/>
        </w:rPr>
        <w:t>0</w:t>
      </w:r>
      <w:r>
        <w:rPr>
          <w:rFonts w:hint="eastAsia" w:ascii="仿宋" w:hAnsi="仿宋" w:eastAsia="仿宋" w:cs="仿宋"/>
          <w:bCs/>
          <w:kern w:val="0"/>
          <w:sz w:val="32"/>
          <w:szCs w:val="32"/>
        </w:rPr>
        <w:t>辆，其中，机要通信用车</w:t>
      </w:r>
      <w:r>
        <w:rPr>
          <w:rFonts w:ascii="仿宋" w:hAnsi="仿宋" w:eastAsia="仿宋" w:cs="仿宋"/>
          <w:bCs/>
          <w:kern w:val="0"/>
          <w:sz w:val="32"/>
          <w:szCs w:val="32"/>
        </w:rPr>
        <w:t>0</w:t>
      </w:r>
      <w:r>
        <w:rPr>
          <w:rFonts w:hint="eastAsia" w:ascii="仿宋" w:hAnsi="仿宋" w:eastAsia="仿宋" w:cs="仿宋"/>
          <w:bCs/>
          <w:kern w:val="0"/>
          <w:sz w:val="32"/>
          <w:szCs w:val="32"/>
        </w:rPr>
        <w:t>辆，应急保障用车</w:t>
      </w:r>
      <w:r>
        <w:rPr>
          <w:rFonts w:ascii="仿宋" w:hAnsi="仿宋" w:eastAsia="仿宋" w:cs="仿宋"/>
          <w:bCs/>
          <w:kern w:val="0"/>
          <w:sz w:val="32"/>
          <w:szCs w:val="32"/>
        </w:rPr>
        <w:t>0</w:t>
      </w:r>
      <w:r>
        <w:rPr>
          <w:rFonts w:hint="eastAsia" w:ascii="仿宋" w:hAnsi="仿宋" w:eastAsia="仿宋" w:cs="仿宋"/>
          <w:bCs/>
          <w:kern w:val="0"/>
          <w:sz w:val="32"/>
          <w:szCs w:val="32"/>
        </w:rPr>
        <w:t>辆，执法执勤用车</w:t>
      </w:r>
      <w:r>
        <w:rPr>
          <w:rFonts w:ascii="仿宋" w:hAnsi="仿宋" w:eastAsia="仿宋" w:cs="仿宋"/>
          <w:bCs/>
          <w:kern w:val="0"/>
          <w:sz w:val="32"/>
          <w:szCs w:val="32"/>
        </w:rPr>
        <w:t>0</w:t>
      </w:r>
      <w:r>
        <w:rPr>
          <w:rFonts w:hint="eastAsia" w:ascii="仿宋" w:hAnsi="仿宋" w:eastAsia="仿宋" w:cs="仿宋"/>
          <w:bCs/>
          <w:kern w:val="0"/>
          <w:sz w:val="32"/>
          <w:szCs w:val="32"/>
        </w:rPr>
        <w:t>辆，特种专业技术用车</w:t>
      </w:r>
      <w:r>
        <w:rPr>
          <w:rFonts w:ascii="仿宋" w:hAnsi="仿宋" w:eastAsia="仿宋" w:cs="仿宋"/>
          <w:bCs/>
          <w:kern w:val="0"/>
          <w:sz w:val="32"/>
          <w:szCs w:val="32"/>
        </w:rPr>
        <w:t>0</w:t>
      </w:r>
      <w:r>
        <w:rPr>
          <w:rFonts w:hint="eastAsia" w:ascii="仿宋" w:hAnsi="仿宋" w:eastAsia="仿宋" w:cs="仿宋"/>
          <w:bCs/>
          <w:kern w:val="0"/>
          <w:sz w:val="32"/>
          <w:szCs w:val="32"/>
        </w:rPr>
        <w:t>辆，其他按照规定配备的公务用车</w:t>
      </w:r>
      <w:r>
        <w:rPr>
          <w:rFonts w:ascii="仿宋" w:hAnsi="仿宋" w:eastAsia="仿宋" w:cs="仿宋"/>
          <w:bCs/>
          <w:kern w:val="0"/>
          <w:sz w:val="32"/>
          <w:szCs w:val="32"/>
        </w:rPr>
        <w:t>0</w:t>
      </w:r>
      <w:r>
        <w:rPr>
          <w:rFonts w:hint="eastAsia" w:ascii="仿宋" w:hAnsi="仿宋" w:eastAsia="仿宋" w:cs="仿宋"/>
          <w:bCs/>
          <w:kern w:val="0"/>
          <w:sz w:val="32"/>
          <w:szCs w:val="32"/>
        </w:rPr>
        <w:t>辆；单位价值50万元以上通用设备</w:t>
      </w:r>
      <w:r>
        <w:rPr>
          <w:rFonts w:ascii="仿宋" w:hAnsi="仿宋" w:eastAsia="仿宋" w:cs="仿宋"/>
          <w:bCs/>
          <w:kern w:val="0"/>
          <w:sz w:val="32"/>
          <w:szCs w:val="32"/>
        </w:rPr>
        <w:t>0</w:t>
      </w:r>
      <w:r>
        <w:rPr>
          <w:rFonts w:hint="eastAsia" w:ascii="仿宋" w:hAnsi="仿宋" w:eastAsia="仿宋" w:cs="仿宋"/>
          <w:bCs/>
          <w:kern w:val="0"/>
          <w:sz w:val="32"/>
          <w:szCs w:val="32"/>
        </w:rPr>
        <w:t>台，单位价值100万元以上专用设备</w:t>
      </w:r>
      <w:r>
        <w:rPr>
          <w:rFonts w:ascii="仿宋" w:hAnsi="仿宋" w:eastAsia="仿宋" w:cs="仿宋"/>
          <w:bCs/>
          <w:kern w:val="0"/>
          <w:sz w:val="32"/>
          <w:szCs w:val="32"/>
        </w:rPr>
        <w:t>0</w:t>
      </w:r>
      <w:r>
        <w:rPr>
          <w:rFonts w:hint="eastAsia" w:ascii="仿宋" w:hAnsi="仿宋" w:eastAsia="仿宋" w:cs="仿宋"/>
          <w:bCs/>
          <w:kern w:val="0"/>
          <w:sz w:val="32"/>
          <w:szCs w:val="32"/>
        </w:rPr>
        <w:t>台。2021年拟新增配置公务用车</w:t>
      </w:r>
      <w:r>
        <w:rPr>
          <w:rFonts w:ascii="仿宋" w:hAnsi="仿宋" w:eastAsia="仿宋" w:cs="仿宋"/>
          <w:bCs/>
          <w:kern w:val="0"/>
          <w:sz w:val="32"/>
          <w:szCs w:val="32"/>
        </w:rPr>
        <w:t>0</w:t>
      </w:r>
      <w:r>
        <w:rPr>
          <w:rFonts w:hint="eastAsia" w:ascii="仿宋" w:hAnsi="仿宋" w:eastAsia="仿宋" w:cs="仿宋"/>
          <w:bCs/>
          <w:kern w:val="0"/>
          <w:sz w:val="32"/>
          <w:szCs w:val="32"/>
        </w:rPr>
        <w:t>辆，其中，机要通信用车</w:t>
      </w:r>
      <w:r>
        <w:rPr>
          <w:rFonts w:ascii="仿宋" w:hAnsi="仿宋" w:eastAsia="仿宋" w:cs="仿宋"/>
          <w:bCs/>
          <w:kern w:val="0"/>
          <w:sz w:val="32"/>
          <w:szCs w:val="32"/>
        </w:rPr>
        <w:t>0</w:t>
      </w:r>
      <w:r>
        <w:rPr>
          <w:rFonts w:hint="eastAsia" w:ascii="仿宋" w:hAnsi="仿宋" w:eastAsia="仿宋" w:cs="仿宋"/>
          <w:bCs/>
          <w:kern w:val="0"/>
          <w:sz w:val="32"/>
          <w:szCs w:val="32"/>
        </w:rPr>
        <w:t>辆，应急保障用车</w:t>
      </w:r>
      <w:r>
        <w:rPr>
          <w:rFonts w:ascii="仿宋" w:hAnsi="仿宋" w:eastAsia="仿宋" w:cs="仿宋"/>
          <w:bCs/>
          <w:kern w:val="0"/>
          <w:sz w:val="32"/>
          <w:szCs w:val="32"/>
        </w:rPr>
        <w:t>0</w:t>
      </w:r>
      <w:r>
        <w:rPr>
          <w:rFonts w:hint="eastAsia" w:ascii="仿宋" w:hAnsi="仿宋" w:eastAsia="仿宋" w:cs="仿宋"/>
          <w:bCs/>
          <w:kern w:val="0"/>
          <w:sz w:val="32"/>
          <w:szCs w:val="32"/>
        </w:rPr>
        <w:t>辆，执法执勤用车</w:t>
      </w:r>
      <w:r>
        <w:rPr>
          <w:rFonts w:ascii="仿宋" w:hAnsi="仿宋" w:eastAsia="仿宋" w:cs="仿宋"/>
          <w:bCs/>
          <w:kern w:val="0"/>
          <w:sz w:val="32"/>
          <w:szCs w:val="32"/>
        </w:rPr>
        <w:t>0</w:t>
      </w:r>
      <w:r>
        <w:rPr>
          <w:rFonts w:hint="eastAsia" w:ascii="仿宋" w:hAnsi="仿宋" w:eastAsia="仿宋" w:cs="仿宋"/>
          <w:bCs/>
          <w:kern w:val="0"/>
          <w:sz w:val="32"/>
          <w:szCs w:val="32"/>
        </w:rPr>
        <w:t>辆，特种专业技术用车</w:t>
      </w:r>
      <w:r>
        <w:rPr>
          <w:rFonts w:ascii="仿宋" w:hAnsi="仿宋" w:eastAsia="仿宋" w:cs="仿宋"/>
          <w:bCs/>
          <w:kern w:val="0"/>
          <w:sz w:val="32"/>
          <w:szCs w:val="32"/>
        </w:rPr>
        <w:t>0</w:t>
      </w:r>
      <w:r>
        <w:rPr>
          <w:rFonts w:hint="eastAsia" w:ascii="仿宋" w:hAnsi="仿宋" w:eastAsia="仿宋" w:cs="仿宋"/>
          <w:bCs/>
          <w:kern w:val="0"/>
          <w:sz w:val="32"/>
          <w:szCs w:val="32"/>
        </w:rPr>
        <w:t>辆，其他按照规定配备的公务用车</w:t>
      </w:r>
      <w:r>
        <w:rPr>
          <w:rFonts w:ascii="仿宋" w:hAnsi="仿宋" w:eastAsia="仿宋" w:cs="仿宋"/>
          <w:bCs/>
          <w:kern w:val="0"/>
          <w:sz w:val="32"/>
          <w:szCs w:val="32"/>
        </w:rPr>
        <w:t>0</w:t>
      </w:r>
      <w:r>
        <w:rPr>
          <w:rFonts w:hint="eastAsia" w:ascii="仿宋" w:hAnsi="仿宋" w:eastAsia="仿宋" w:cs="仿宋"/>
          <w:bCs/>
          <w:kern w:val="0"/>
          <w:sz w:val="32"/>
          <w:szCs w:val="32"/>
        </w:rPr>
        <w:t>辆；新增配备单位价值50万元以上通用设备</w:t>
      </w:r>
      <w:r>
        <w:rPr>
          <w:rFonts w:ascii="仿宋" w:hAnsi="仿宋" w:eastAsia="仿宋" w:cs="仿宋"/>
          <w:bCs/>
          <w:kern w:val="0"/>
          <w:sz w:val="32"/>
          <w:szCs w:val="32"/>
        </w:rPr>
        <w:t>0</w:t>
      </w:r>
      <w:r>
        <w:rPr>
          <w:rFonts w:hint="eastAsia" w:ascii="仿宋" w:hAnsi="仿宋" w:eastAsia="仿宋" w:cs="仿宋"/>
          <w:bCs/>
          <w:kern w:val="0"/>
          <w:sz w:val="32"/>
          <w:szCs w:val="32"/>
        </w:rPr>
        <w:t>台，单位价值100万元以上专用设备</w:t>
      </w:r>
      <w:r>
        <w:rPr>
          <w:rFonts w:ascii="仿宋" w:hAnsi="仿宋" w:eastAsia="仿宋" w:cs="仿宋"/>
          <w:bCs/>
          <w:kern w:val="0"/>
          <w:sz w:val="32"/>
          <w:szCs w:val="32"/>
        </w:rPr>
        <w:t>0</w:t>
      </w:r>
      <w:r>
        <w:rPr>
          <w:rFonts w:hint="eastAsia" w:ascii="仿宋" w:hAnsi="仿宋" w:eastAsia="仿宋" w:cs="仿宋"/>
          <w:bCs/>
          <w:kern w:val="0"/>
          <w:sz w:val="32"/>
          <w:szCs w:val="32"/>
        </w:rPr>
        <w:t>台。</w:t>
      </w: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bCs/>
          <w:sz w:val="32"/>
          <w:szCs w:val="32"/>
        </w:rPr>
        <w:t>（六）预算绩效目标说明：</w:t>
      </w:r>
      <w:r>
        <w:rPr>
          <w:rFonts w:hint="eastAsia" w:ascii="仿宋" w:hAnsi="仿宋" w:eastAsia="仿宋" w:cs="仿宋"/>
          <w:bCs/>
          <w:sz w:val="32"/>
          <w:szCs w:val="32"/>
        </w:rPr>
        <w:t>按照市本级预算绩效管理工作的总体要求，2021年青竹湖街道整体支出</w:t>
      </w:r>
      <w:r>
        <w:rPr>
          <w:rFonts w:hint="eastAsia" w:ascii="仿宋" w:hAnsi="仿宋" w:eastAsia="仿宋" w:cs="仿宋"/>
          <w:bCs/>
          <w:sz w:val="32"/>
          <w:szCs w:val="32"/>
          <w:lang w:val="en-US" w:eastAsia="zh-CN"/>
        </w:rPr>
        <w:t>5110.3</w:t>
      </w:r>
      <w:r>
        <w:rPr>
          <w:rFonts w:hint="eastAsia" w:ascii="仿宋" w:hAnsi="仿宋" w:eastAsia="仿宋" w:cs="仿宋"/>
          <w:bCs/>
          <w:sz w:val="32"/>
          <w:szCs w:val="32"/>
        </w:rPr>
        <w:t>万元，其中，基本支出1961.39万元，项目支出3,148.91万元，全部实行整体支出绩效目标管理。编报绩效目标的项目6个，涉及项目支出</w:t>
      </w:r>
      <w:r>
        <w:rPr>
          <w:rFonts w:hint="eastAsia" w:ascii="仿宋" w:hAnsi="仿宋" w:eastAsia="仿宋" w:cs="仿宋"/>
          <w:bCs/>
          <w:sz w:val="32"/>
          <w:szCs w:val="32"/>
          <w:lang w:val="en-US" w:eastAsia="zh-CN"/>
        </w:rPr>
        <w:t>3148.91</w:t>
      </w:r>
      <w:r>
        <w:rPr>
          <w:rFonts w:hint="eastAsia" w:ascii="仿宋" w:hAnsi="仿宋" w:eastAsia="仿宋" w:cs="仿宋"/>
          <w:bCs/>
          <w:sz w:val="32"/>
          <w:szCs w:val="32"/>
        </w:rPr>
        <w:t>万元。其中，党政综合事务30万元，公共安全事务125万元，公共服务事务1</w:t>
      </w:r>
      <w:r>
        <w:rPr>
          <w:rFonts w:hint="eastAsia" w:ascii="仿宋" w:hAnsi="仿宋" w:eastAsia="仿宋" w:cs="仿宋"/>
          <w:bCs/>
          <w:sz w:val="32"/>
          <w:szCs w:val="32"/>
          <w:lang w:val="en-US" w:eastAsia="zh-CN"/>
        </w:rPr>
        <w:t>447.36</w:t>
      </w:r>
      <w:r>
        <w:rPr>
          <w:rFonts w:hint="eastAsia" w:ascii="仿宋" w:hAnsi="仿宋" w:eastAsia="仿宋" w:cs="仿宋"/>
          <w:bCs/>
          <w:sz w:val="32"/>
          <w:szCs w:val="32"/>
        </w:rPr>
        <w:t>万元，基层党建事务97.54万元，其他事务</w:t>
      </w:r>
      <w:r>
        <w:rPr>
          <w:rFonts w:hint="eastAsia" w:ascii="仿宋" w:hAnsi="仿宋" w:eastAsia="仿宋" w:cs="仿宋"/>
          <w:bCs/>
          <w:sz w:val="32"/>
          <w:szCs w:val="32"/>
          <w:lang w:val="en-US" w:eastAsia="zh-CN"/>
        </w:rPr>
        <w:t>9</w:t>
      </w:r>
      <w:r>
        <w:rPr>
          <w:rFonts w:hint="eastAsia" w:ascii="仿宋" w:hAnsi="仿宋" w:eastAsia="仿宋" w:cs="仿宋"/>
          <w:bCs/>
          <w:sz w:val="32"/>
          <w:szCs w:val="32"/>
        </w:rPr>
        <w:t>09.0</w:t>
      </w:r>
      <w:r>
        <w:rPr>
          <w:rFonts w:hint="eastAsia" w:ascii="仿宋" w:hAnsi="仿宋" w:eastAsia="仿宋" w:cs="仿宋"/>
          <w:bCs/>
          <w:sz w:val="32"/>
          <w:szCs w:val="32"/>
          <w:lang w:val="en-US" w:eastAsia="zh-CN"/>
        </w:rPr>
        <w:t>1</w:t>
      </w:r>
      <w:r>
        <w:rPr>
          <w:rFonts w:hint="eastAsia" w:ascii="仿宋" w:hAnsi="仿宋" w:eastAsia="仿宋" w:cs="仿宋"/>
          <w:bCs/>
          <w:sz w:val="32"/>
          <w:szCs w:val="32"/>
        </w:rPr>
        <w:t>万元，城市管理事务</w:t>
      </w:r>
      <w:r>
        <w:rPr>
          <w:rFonts w:hint="eastAsia" w:ascii="仿宋" w:hAnsi="仿宋" w:eastAsia="仿宋" w:cs="仿宋"/>
          <w:bCs/>
          <w:sz w:val="32"/>
          <w:szCs w:val="32"/>
          <w:lang w:val="en-US" w:eastAsia="zh-CN"/>
        </w:rPr>
        <w:t>540</w:t>
      </w:r>
      <w:r>
        <w:rPr>
          <w:rFonts w:hint="eastAsia" w:ascii="仿宋" w:hAnsi="仿宋" w:eastAsia="仿宋" w:cs="仿宋"/>
          <w:bCs/>
          <w:sz w:val="32"/>
          <w:szCs w:val="32"/>
        </w:rPr>
        <w:t>万元，全部实行项目支出绩效目标管理。</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sz w:val="32"/>
          <w:szCs w:val="32"/>
        </w:rPr>
      </w:pPr>
    </w:p>
    <w:p>
      <w:pPr>
        <w:pStyle w:val="5"/>
        <w:keepNext w:val="0"/>
        <w:keepLines w:val="0"/>
        <w:pageBreakBefore w:val="0"/>
        <w:widowControl/>
        <w:kinsoku/>
        <w:wordWrap/>
        <w:overflowPunct/>
        <w:topLinePunct w:val="0"/>
        <w:autoSpaceDE/>
        <w:autoSpaceDN/>
        <w:bidi w:val="0"/>
        <w:adjustRightInd/>
        <w:snapToGrid/>
        <w:spacing w:before="24" w:beforeAutospacing="0" w:afterAutospacing="0" w:line="600" w:lineRule="exact"/>
        <w:ind w:firstLine="420"/>
        <w:jc w:val="both"/>
        <w:textAlignment w:val="auto"/>
        <w:rPr>
          <w:rFonts w:ascii="仿宋" w:hAnsi="仿宋" w:eastAsia="仿宋" w:cs="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12A16881"/>
    <w:rsid w:val="0004422A"/>
    <w:rsid w:val="004208D5"/>
    <w:rsid w:val="00587303"/>
    <w:rsid w:val="0076664E"/>
    <w:rsid w:val="007C1E75"/>
    <w:rsid w:val="00B47A90"/>
    <w:rsid w:val="00BE3C1B"/>
    <w:rsid w:val="00C82E2C"/>
    <w:rsid w:val="00D61FC9"/>
    <w:rsid w:val="00E02467"/>
    <w:rsid w:val="00FF19BE"/>
    <w:rsid w:val="06382AC5"/>
    <w:rsid w:val="12A16881"/>
    <w:rsid w:val="294C654B"/>
    <w:rsid w:val="3D713E6E"/>
    <w:rsid w:val="71783EA3"/>
    <w:rsid w:val="7A9F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3115</Words>
  <Characters>3371</Characters>
  <Lines>24</Lines>
  <Paragraphs>6</Paragraphs>
  <TotalTime>32</TotalTime>
  <ScaleCrop>false</ScaleCrop>
  <LinksUpToDate>false</LinksUpToDate>
  <CharactersWithSpaces>3404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2022-06-28T15:12:00Z</dcterms:created>
  <dc:creator>燕子</dc:creator>
  <cp:lastModifiedBy>硕妞</cp:lastModifiedBy>
  <dcterms:modified xsi:type="dcterms:W3CDTF">2022-08-22T07:56:18Z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574AEC61DC554EA3BB2D4F8C45105251</vt:lpwstr>
  </property>
</Properties>
</file>