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964" w:firstLineChars="200"/>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2021年长沙市开福区清水塘街道办事处部门预算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sz w:val="32"/>
          <w:szCs w:val="32"/>
        </w:rPr>
        <w:t>（一）职能职责。</w:t>
      </w:r>
      <w:r>
        <w:rPr>
          <w:rFonts w:hint="eastAsia" w:ascii="仿宋" w:hAnsi="仿宋" w:eastAsia="仿宋" w:cs="仿宋"/>
          <w:bCs/>
          <w:sz w:val="32"/>
          <w:szCs w:val="32"/>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（2）统筹区域发展。统筹落实市</w:t>
      </w:r>
      <w:r>
        <w:rPr>
          <w:rFonts w:ascii="Calibri" w:hAnsi="Calibri" w:eastAsia="仿宋" w:cs="Calibri"/>
          <w:bCs/>
          <w:sz w:val="32"/>
          <w:szCs w:val="32"/>
        </w:rPr>
        <w:t> </w:t>
      </w:r>
      <w:r>
        <w:rPr>
          <w:rFonts w:hint="eastAsia" w:ascii="仿宋" w:hAnsi="仿宋" w:eastAsia="仿宋" w:cs="仿宋"/>
          <w:bCs/>
          <w:sz w:val="32"/>
          <w:szCs w:val="32"/>
        </w:rPr>
        <w:t>、区关于辖区发展的重大决策和建设规划，负责优化发展环境</w:t>
      </w:r>
      <w:r>
        <w:rPr>
          <w:rFonts w:ascii="Calibri" w:hAnsi="Calibri" w:eastAsia="仿宋" w:cs="Calibri"/>
          <w:bCs/>
          <w:sz w:val="32"/>
          <w:szCs w:val="32"/>
        </w:rPr>
        <w:t> </w:t>
      </w:r>
      <w:r>
        <w:rPr>
          <w:rFonts w:hint="eastAsia" w:ascii="仿宋" w:hAnsi="仿宋" w:eastAsia="仿宋" w:cs="仿宋"/>
          <w:bCs/>
          <w:sz w:val="32"/>
          <w:szCs w:val="32"/>
        </w:rPr>
        <w:t>、采集企业信息</w:t>
      </w:r>
      <w:r>
        <w:rPr>
          <w:rFonts w:ascii="Calibri" w:hAnsi="Calibri" w:eastAsia="仿宋" w:cs="Calibri"/>
          <w:bCs/>
          <w:sz w:val="32"/>
          <w:szCs w:val="32"/>
        </w:rPr>
        <w:t> </w:t>
      </w:r>
      <w:r>
        <w:rPr>
          <w:rFonts w:hint="eastAsia" w:ascii="仿宋" w:hAnsi="仿宋" w:eastAsia="仿宋" w:cs="仿宋"/>
          <w:bCs/>
          <w:sz w:val="32"/>
          <w:szCs w:val="32"/>
        </w:rPr>
        <w:t>、服务辖区企业</w:t>
      </w:r>
      <w:r>
        <w:rPr>
          <w:rFonts w:ascii="Calibri" w:hAnsi="Calibri" w:eastAsia="仿宋" w:cs="Calibri"/>
          <w:bCs/>
          <w:sz w:val="32"/>
          <w:szCs w:val="32"/>
        </w:rPr>
        <w:t> </w:t>
      </w:r>
      <w:r>
        <w:rPr>
          <w:rFonts w:hint="eastAsia" w:ascii="仿宋" w:hAnsi="仿宋" w:eastAsia="仿宋" w:cs="仿宋"/>
          <w:bCs/>
          <w:sz w:val="32"/>
          <w:szCs w:val="32"/>
        </w:rPr>
        <w:t>、促进项目发展等工作。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（3）组织公共服务。组织实施与居民生活密切相关的各项公共服务事项，落实人力资源和社会保障</w:t>
      </w:r>
      <w:r>
        <w:rPr>
          <w:rFonts w:ascii="Calibri" w:hAnsi="Calibri" w:eastAsia="仿宋" w:cs="Calibri"/>
          <w:bCs/>
          <w:sz w:val="32"/>
          <w:szCs w:val="32"/>
        </w:rPr>
        <w:t> </w:t>
      </w:r>
      <w:r>
        <w:rPr>
          <w:rFonts w:hint="eastAsia" w:ascii="仿宋" w:hAnsi="仿宋" w:eastAsia="仿宋" w:cs="仿宋"/>
          <w:bCs/>
          <w:sz w:val="32"/>
          <w:szCs w:val="32"/>
        </w:rPr>
        <w:t>、民政</w:t>
      </w:r>
      <w:r>
        <w:rPr>
          <w:rFonts w:ascii="Calibri" w:hAnsi="Calibri" w:eastAsia="仿宋" w:cs="Calibri"/>
          <w:bCs/>
          <w:sz w:val="32"/>
          <w:szCs w:val="32"/>
        </w:rPr>
        <w:t> </w:t>
      </w:r>
      <w:r>
        <w:rPr>
          <w:rFonts w:hint="eastAsia" w:ascii="仿宋" w:hAnsi="仿宋" w:eastAsia="仿宋" w:cs="仿宋"/>
          <w:bCs/>
          <w:sz w:val="32"/>
          <w:szCs w:val="32"/>
        </w:rPr>
        <w:t>、教育</w:t>
      </w:r>
      <w:r>
        <w:rPr>
          <w:rFonts w:ascii="Calibri" w:hAnsi="Calibri" w:eastAsia="仿宋" w:cs="Calibri"/>
          <w:bCs/>
          <w:sz w:val="32"/>
          <w:szCs w:val="32"/>
        </w:rPr>
        <w:t> </w:t>
      </w:r>
      <w:r>
        <w:rPr>
          <w:rFonts w:hint="eastAsia" w:ascii="仿宋" w:hAnsi="仿宋" w:eastAsia="仿宋" w:cs="仿宋"/>
          <w:bCs/>
          <w:sz w:val="32"/>
          <w:szCs w:val="32"/>
        </w:rPr>
        <w:t>、文化</w:t>
      </w:r>
      <w:r>
        <w:rPr>
          <w:rFonts w:ascii="Calibri" w:hAnsi="Calibri" w:eastAsia="仿宋" w:cs="Calibri"/>
          <w:bCs/>
          <w:sz w:val="32"/>
          <w:szCs w:val="32"/>
        </w:rPr>
        <w:t> </w:t>
      </w:r>
      <w:r>
        <w:rPr>
          <w:rFonts w:hint="eastAsia" w:ascii="仿宋" w:hAnsi="仿宋" w:eastAsia="仿宋" w:cs="仿宋"/>
          <w:bCs/>
          <w:sz w:val="32"/>
          <w:szCs w:val="32"/>
        </w:rPr>
        <w:t>、体育</w:t>
      </w:r>
      <w:r>
        <w:rPr>
          <w:rFonts w:ascii="Calibri" w:hAnsi="Calibri" w:eastAsia="仿宋" w:cs="Calibri"/>
          <w:bCs/>
          <w:sz w:val="32"/>
          <w:szCs w:val="32"/>
        </w:rPr>
        <w:t> </w:t>
      </w:r>
      <w:r>
        <w:rPr>
          <w:rFonts w:hint="eastAsia" w:ascii="仿宋" w:hAnsi="仿宋" w:eastAsia="仿宋" w:cs="仿宋"/>
          <w:bCs/>
          <w:sz w:val="32"/>
          <w:szCs w:val="32"/>
        </w:rPr>
        <w:t>、卫生健康等领域相关法律政策。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（4）实施公共管理。负责辖区内城市管理等地区性</w:t>
      </w:r>
      <w:r>
        <w:rPr>
          <w:rFonts w:ascii="Calibri" w:hAnsi="Calibri" w:eastAsia="仿宋" w:cs="Calibri"/>
          <w:bCs/>
          <w:sz w:val="32"/>
          <w:szCs w:val="32"/>
        </w:rPr>
        <w:t> </w:t>
      </w:r>
      <w:r>
        <w:rPr>
          <w:rFonts w:hint="eastAsia" w:ascii="仿宋" w:hAnsi="仿宋" w:eastAsia="仿宋" w:cs="仿宋"/>
          <w:bCs/>
          <w:sz w:val="32"/>
          <w:szCs w:val="32"/>
        </w:rPr>
        <w:t>、综合性管理工作，承担组织领导和综合协调职能；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（5）维护公共安全。承担辖区内社会治安综合治理 、应急管理等有关工作，接待群众来信来访，反映社情民意，化解矛盾纠纷等。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(6)监督执法管理。对辖区内各类行政执法工作进行统筹协调，组织开展群众监督和社会监督；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(7)动员社会参与。动员辖区内各类单位</w:t>
      </w:r>
      <w:r>
        <w:rPr>
          <w:rFonts w:ascii="Calibri" w:hAnsi="Calibri" w:eastAsia="仿宋" w:cs="Calibri"/>
          <w:bCs/>
          <w:sz w:val="32"/>
          <w:szCs w:val="32"/>
        </w:rPr>
        <w:t> </w:t>
      </w:r>
      <w:r>
        <w:rPr>
          <w:rFonts w:hint="eastAsia" w:ascii="仿宋" w:hAnsi="仿宋" w:eastAsia="仿宋" w:cs="仿宋"/>
          <w:bCs/>
          <w:sz w:val="32"/>
          <w:szCs w:val="32"/>
        </w:rPr>
        <w:t>、社会组织</w:t>
      </w:r>
      <w:r>
        <w:rPr>
          <w:rFonts w:ascii="Calibri" w:hAnsi="Calibri" w:eastAsia="仿宋" w:cs="Calibri"/>
          <w:bCs/>
          <w:sz w:val="32"/>
          <w:szCs w:val="32"/>
        </w:rPr>
        <w:t> </w:t>
      </w:r>
      <w:r>
        <w:rPr>
          <w:rFonts w:hint="eastAsia" w:ascii="仿宋" w:hAnsi="仿宋" w:eastAsia="仿宋" w:cs="仿宋"/>
          <w:bCs/>
          <w:sz w:val="32"/>
          <w:szCs w:val="32"/>
        </w:rPr>
        <w:t>、社区居民等社会力量参与社会治理，为街道发展服务；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(8</w:t>
      </w:r>
      <w:r>
        <w:rPr>
          <w:rFonts w:ascii="Calibri" w:hAnsi="Calibri" w:eastAsia="仿宋" w:cs="Calibri"/>
          <w:bCs/>
          <w:sz w:val="32"/>
          <w:szCs w:val="32"/>
        </w:rPr>
        <w:t> </w:t>
      </w:r>
      <w:r>
        <w:rPr>
          <w:rFonts w:hint="eastAsia" w:ascii="仿宋" w:hAnsi="仿宋" w:eastAsia="仿宋" w:cs="仿宋"/>
          <w:bCs/>
          <w:sz w:val="32"/>
          <w:szCs w:val="32"/>
        </w:rPr>
        <w:t>)保障社区自治。指导社会居委会建设，健全社区自治平台，组织驻区单位和社会居民参与社区建设</w:t>
      </w:r>
      <w:r>
        <w:rPr>
          <w:rFonts w:ascii="Calibri" w:hAnsi="Calibri" w:eastAsia="仿宋" w:cs="Calibri"/>
          <w:bCs/>
          <w:sz w:val="32"/>
          <w:szCs w:val="32"/>
        </w:rPr>
        <w:t> </w:t>
      </w:r>
      <w:r>
        <w:rPr>
          <w:rFonts w:hint="eastAsia" w:ascii="仿宋" w:hAnsi="仿宋" w:eastAsia="仿宋" w:cs="仿宋"/>
          <w:bCs/>
          <w:sz w:val="32"/>
          <w:szCs w:val="32"/>
        </w:rPr>
        <w:t>、管理。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(9)完成区委</w:t>
      </w:r>
      <w:r>
        <w:rPr>
          <w:rFonts w:ascii="Calibri" w:hAnsi="Calibri" w:eastAsia="仿宋" w:cs="Calibri"/>
          <w:bCs/>
          <w:sz w:val="32"/>
          <w:szCs w:val="32"/>
        </w:rPr>
        <w:t> </w:t>
      </w:r>
      <w:r>
        <w:rPr>
          <w:rFonts w:hint="eastAsia" w:ascii="仿宋" w:hAnsi="仿宋" w:eastAsia="仿宋" w:cs="仿宋"/>
          <w:bCs/>
          <w:sz w:val="32"/>
          <w:szCs w:val="32"/>
        </w:rPr>
        <w:t>、区政府交办的其他工作。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
          <w:sz w:val="32"/>
          <w:szCs w:val="32"/>
        </w:rPr>
      </w:pPr>
      <w:r>
        <w:rPr>
          <w:rFonts w:hint="eastAsia" w:ascii="仿宋" w:hAnsi="仿宋" w:eastAsia="仿宋" w:cs="仿宋"/>
          <w:b/>
          <w:sz w:val="32"/>
          <w:szCs w:val="32"/>
        </w:rPr>
        <w:t>（二）机构设置。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（1）部门设置：2021年预算仅包括长沙市开福区清水塘街道办事处本级无二级预算单位，内设9个机构，党政综合办公室 、基层党建办公室 、城市管理办公室 、政务服务中心（行政审批服务办、退役军人服务站） 、网格化综合服务中心 、公共服务办公室 、优化营商环境办公室 、公共安全办公室 、财政所。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党政综合办公室主要负责机关党务和行政事务工作；负责机关文电、机要、保密、信息、会务、档案、督查督办、政务公开、后勤保障、街道机关工会等工作；负责绩效考核工作；负责上级党委、政府交办的重要事项的综合协调和街道重要文稿的起草审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基层党建办公室负责基层党的建设、宣传、意识形态、统一战线、民族宗教、网络安全、群众等工作；负责牵头开展辖区内精神文明建设工作；负责组织人事工作，组织协调辖区内群团组织开展工作；指导街道本级、所辖社区、辖区企事业单位党组织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城市管理办公室负责市、区关于辖区发展重大建设规划的落实；组织实施和统筹协调城市综合管理工作，负责市容环境</w:t>
      </w:r>
      <w:r>
        <w:rPr>
          <w:rFonts w:ascii="Calibri" w:hAnsi="Calibri" w:eastAsia="仿宋" w:cs="Calibri"/>
          <w:bCs/>
          <w:sz w:val="32"/>
          <w:szCs w:val="32"/>
        </w:rPr>
        <w:t> </w:t>
      </w:r>
      <w:r>
        <w:rPr>
          <w:rFonts w:hint="eastAsia" w:ascii="仿宋" w:hAnsi="仿宋" w:eastAsia="仿宋" w:cs="仿宋"/>
          <w:bCs/>
          <w:sz w:val="32"/>
          <w:szCs w:val="32"/>
        </w:rPr>
        <w:t>、河长制</w:t>
      </w:r>
      <w:r>
        <w:rPr>
          <w:rFonts w:ascii="Calibri" w:hAnsi="Calibri" w:eastAsia="仿宋" w:cs="Calibri"/>
          <w:bCs/>
          <w:sz w:val="32"/>
          <w:szCs w:val="32"/>
        </w:rPr>
        <w:t> </w:t>
      </w:r>
      <w:r>
        <w:rPr>
          <w:rFonts w:hint="eastAsia" w:ascii="仿宋" w:hAnsi="仿宋" w:eastAsia="仿宋" w:cs="仿宋"/>
          <w:bCs/>
          <w:sz w:val="32"/>
          <w:szCs w:val="32"/>
        </w:rPr>
        <w:t>、生态环境保护等工作。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政务服务中心（行政审批服务办、退役军人服务站）负责群众</w:t>
      </w:r>
      <w:r>
        <w:rPr>
          <w:rFonts w:ascii="Calibri" w:hAnsi="Calibri" w:eastAsia="仿宋" w:cs="Calibri"/>
          <w:bCs/>
          <w:sz w:val="32"/>
          <w:szCs w:val="32"/>
        </w:rPr>
        <w:t> </w:t>
      </w:r>
      <w:r>
        <w:rPr>
          <w:rFonts w:hint="eastAsia" w:ascii="仿宋" w:hAnsi="仿宋" w:eastAsia="仿宋" w:cs="仿宋"/>
          <w:bCs/>
          <w:sz w:val="32"/>
          <w:szCs w:val="32"/>
        </w:rPr>
        <w:t>、驻区单位相关政务服务事项的办理，做好退役军人</w:t>
      </w:r>
      <w:r>
        <w:rPr>
          <w:rFonts w:ascii="Calibri" w:hAnsi="Calibri" w:eastAsia="仿宋" w:cs="Calibri"/>
          <w:bCs/>
          <w:sz w:val="32"/>
          <w:szCs w:val="32"/>
        </w:rPr>
        <w:t> </w:t>
      </w:r>
      <w:r>
        <w:rPr>
          <w:rFonts w:hint="eastAsia" w:ascii="仿宋" w:hAnsi="仿宋" w:eastAsia="仿宋" w:cs="仿宋"/>
          <w:bCs/>
          <w:sz w:val="32"/>
          <w:szCs w:val="32"/>
        </w:rPr>
        <w:t>、人民武装工作，负责辖区内人力资源社会保障、民政、社会救助工作。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网格化综合服务中心负责网格化综合管理、数字化城管、12345市民热线等平台的事务性、辅助性工作；负责线上线下的巡查、指挥、调度和督办等工作；负责为各个平台运转提供技术支撑；负责治安综合治理 、信访 、法制建设工作，维护辖区内安全稳定。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公共服务办公室负责卫生健康</w:t>
      </w:r>
      <w:r>
        <w:rPr>
          <w:rFonts w:ascii="Calibri" w:hAnsi="Calibri" w:eastAsia="仿宋" w:cs="Calibri"/>
          <w:bCs/>
          <w:sz w:val="32"/>
          <w:szCs w:val="32"/>
        </w:rPr>
        <w:t> </w:t>
      </w:r>
      <w:r>
        <w:rPr>
          <w:rFonts w:hint="eastAsia" w:ascii="仿宋" w:hAnsi="仿宋" w:eastAsia="仿宋" w:cs="仿宋"/>
          <w:bCs/>
          <w:sz w:val="32"/>
          <w:szCs w:val="32"/>
        </w:rPr>
        <w:t>、医疗保障</w:t>
      </w:r>
      <w:r>
        <w:rPr>
          <w:rFonts w:ascii="Calibri" w:hAnsi="Calibri" w:eastAsia="仿宋" w:cs="Calibri"/>
          <w:bCs/>
          <w:sz w:val="32"/>
          <w:szCs w:val="32"/>
        </w:rPr>
        <w:t> </w:t>
      </w:r>
      <w:r>
        <w:rPr>
          <w:rFonts w:hint="eastAsia" w:ascii="仿宋" w:hAnsi="仿宋" w:eastAsia="仿宋" w:cs="仿宋"/>
          <w:bCs/>
          <w:sz w:val="32"/>
          <w:szCs w:val="32"/>
        </w:rPr>
        <w:t>、无偿献血等工作。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优化营商环境办公室主要负责社会经济调查统计及优化区域发展环境工作；协调服务辖区产业发展、企业社会化职能移交工作。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公共安全办公室负责安全生产</w:t>
      </w:r>
      <w:r>
        <w:rPr>
          <w:rFonts w:ascii="Calibri" w:hAnsi="Calibri" w:eastAsia="仿宋" w:cs="Calibri"/>
          <w:bCs/>
          <w:sz w:val="32"/>
          <w:szCs w:val="32"/>
        </w:rPr>
        <w:t> </w:t>
      </w:r>
      <w:r>
        <w:rPr>
          <w:rFonts w:hint="eastAsia" w:ascii="仿宋" w:hAnsi="仿宋" w:eastAsia="仿宋" w:cs="仿宋"/>
          <w:bCs/>
          <w:sz w:val="32"/>
          <w:szCs w:val="32"/>
        </w:rPr>
        <w:t>、消防等工作。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财政所负责街道财务管理等工作，负责指导和监督社区财务管理。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（2）人员情况：本部门编制数44人，在职人数45人，其中：在岗人数45人；离退休人数42人，其中离休人员0人，退休人员37人。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长沙市开福区清水塘街道办事处只有本级，没有其他二级预算单位，因此，纳入2021年部门预算编制范围的只有长沙市开福区清水塘街道办事处本级。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30" w:firstLineChars="196"/>
        <w:textAlignment w:val="auto"/>
        <w:rPr>
          <w:rFonts w:ascii="仿宋" w:hAnsi="仿宋" w:eastAsia="仿宋" w:cs="仿宋"/>
          <w:sz w:val="32"/>
          <w:szCs w:val="32"/>
        </w:rPr>
      </w:pPr>
      <w:r>
        <w:rPr>
          <w:rFonts w:hint="eastAsia" w:ascii="仿宋" w:hAnsi="仿宋" w:eastAsia="仿宋" w:cs="仿宋"/>
          <w:b/>
          <w:sz w:val="32"/>
          <w:szCs w:val="32"/>
        </w:rPr>
        <w:t>（一）收入预算：</w:t>
      </w:r>
      <w:r>
        <w:rPr>
          <w:rFonts w:hint="eastAsia" w:ascii="仿宋" w:hAnsi="仿宋" w:eastAsia="仿宋" w:cs="仿宋"/>
          <w:sz w:val="32"/>
          <w:szCs w:val="32"/>
        </w:rPr>
        <w:t>包括一般公共预算、政府性基金、国有资本经营预算等财政拨款收入，以及经营收入、事业收入等单位资金。2021年本部门收入预算</w:t>
      </w:r>
      <w:r>
        <w:rPr>
          <w:rFonts w:ascii="仿宋" w:hAnsi="仿宋" w:eastAsia="仿宋" w:cs="仿宋"/>
          <w:sz w:val="32"/>
          <w:szCs w:val="32"/>
        </w:rPr>
        <w:t>3533.56</w:t>
      </w:r>
      <w:r>
        <w:rPr>
          <w:rFonts w:hint="eastAsia" w:ascii="仿宋" w:hAnsi="仿宋" w:eastAsia="仿宋" w:cs="仿宋"/>
          <w:sz w:val="32"/>
          <w:szCs w:val="32"/>
        </w:rPr>
        <w:t>万元，其中：财政拨款2</w:t>
      </w:r>
      <w:r>
        <w:rPr>
          <w:rFonts w:ascii="仿宋" w:hAnsi="仿宋" w:eastAsia="仿宋" w:cs="仿宋"/>
          <w:sz w:val="32"/>
          <w:szCs w:val="32"/>
        </w:rPr>
        <w:t>276.47</w:t>
      </w:r>
      <w:r>
        <w:rPr>
          <w:rFonts w:hint="eastAsia" w:ascii="仿宋" w:hAnsi="仿宋" w:eastAsia="仿宋" w:cs="仿宋"/>
          <w:sz w:val="32"/>
          <w:szCs w:val="32"/>
        </w:rPr>
        <w:t>万元，其他收入7</w:t>
      </w:r>
      <w:r>
        <w:rPr>
          <w:rFonts w:ascii="仿宋" w:hAnsi="仿宋" w:eastAsia="仿宋" w:cs="仿宋"/>
          <w:sz w:val="32"/>
          <w:szCs w:val="32"/>
        </w:rPr>
        <w:t>07.04</w:t>
      </w:r>
      <w:r>
        <w:rPr>
          <w:rFonts w:hint="eastAsia" w:ascii="仿宋" w:hAnsi="仿宋" w:eastAsia="仿宋" w:cs="仿宋"/>
          <w:sz w:val="32"/>
          <w:szCs w:val="32"/>
        </w:rPr>
        <w:t>万元，上年结转结余</w:t>
      </w:r>
      <w:r>
        <w:rPr>
          <w:rFonts w:ascii="仿宋" w:hAnsi="仿宋" w:eastAsia="仿宋" w:cs="仿宋"/>
          <w:sz w:val="32"/>
          <w:szCs w:val="32"/>
        </w:rPr>
        <w:t>550.04</w:t>
      </w:r>
      <w:r>
        <w:rPr>
          <w:rFonts w:hint="eastAsia" w:ascii="仿宋" w:hAnsi="仿宋" w:eastAsia="仿宋" w:cs="仿宋"/>
          <w:sz w:val="32"/>
          <w:szCs w:val="32"/>
        </w:rPr>
        <w:t>万元。收入较去年减少1</w:t>
      </w:r>
      <w:r>
        <w:rPr>
          <w:rFonts w:ascii="仿宋" w:hAnsi="仿宋" w:eastAsia="仿宋" w:cs="仿宋"/>
          <w:sz w:val="32"/>
          <w:szCs w:val="32"/>
        </w:rPr>
        <w:t>93.26</w:t>
      </w:r>
      <w:r>
        <w:rPr>
          <w:rFonts w:hint="eastAsia" w:ascii="仿宋" w:hAnsi="仿宋" w:eastAsia="仿宋" w:cs="仿宋"/>
          <w:sz w:val="32"/>
          <w:szCs w:val="32"/>
        </w:rPr>
        <w:t>万元，</w:t>
      </w:r>
      <w:r>
        <w:rPr>
          <w:rFonts w:hint="eastAsia" w:ascii="仿宋" w:hAnsi="仿宋" w:eastAsia="仿宋" w:cs="仿宋"/>
          <w:color w:val="auto"/>
          <w:sz w:val="32"/>
          <w:szCs w:val="32"/>
        </w:rPr>
        <w:t>下降5</w:t>
      </w:r>
      <w:r>
        <w:rPr>
          <w:rFonts w:ascii="仿宋" w:hAnsi="仿宋" w:eastAsia="仿宋" w:cs="仿宋"/>
          <w:color w:val="auto"/>
          <w:sz w:val="32"/>
          <w:szCs w:val="32"/>
        </w:rPr>
        <w:t>.19</w:t>
      </w:r>
      <w:r>
        <w:rPr>
          <w:rFonts w:hint="eastAsia" w:ascii="仿宋" w:hAnsi="仿宋" w:eastAsia="仿宋" w:cs="仿宋"/>
          <w:color w:val="auto"/>
          <w:sz w:val="32"/>
          <w:szCs w:val="32"/>
        </w:rPr>
        <w:t>%，</w:t>
      </w:r>
      <w:r>
        <w:rPr>
          <w:rFonts w:hint="eastAsia" w:ascii="仿宋" w:hAnsi="仿宋" w:eastAsia="仿宋" w:cs="仿宋"/>
          <w:sz w:val="32"/>
          <w:szCs w:val="32"/>
        </w:rPr>
        <w:t>主要是体制财力减少。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sz w:val="32"/>
          <w:szCs w:val="32"/>
        </w:rPr>
        <w:t>（二）支出预算：</w:t>
      </w:r>
      <w:r>
        <w:rPr>
          <w:rFonts w:hint="eastAsia" w:ascii="仿宋" w:hAnsi="仿宋" w:eastAsia="仿宋" w:cs="仿宋"/>
          <w:kern w:val="2"/>
          <w:sz w:val="32"/>
          <w:szCs w:val="32"/>
        </w:rPr>
        <w:t>2021年支出预算数3533.56万元，其中，一般公共服务支出3430.52万元，住房保障支出103.04万元。本年支出预算数比上年减少193.26万元，降低5.19%。支出减少的主要原因是：根据2021年度工作部署合理安排支出。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sz w:val="32"/>
          <w:szCs w:val="32"/>
        </w:rPr>
      </w:pPr>
      <w:r>
        <w:rPr>
          <w:rFonts w:hint="eastAsia" w:ascii="仿宋" w:hAnsi="仿宋" w:eastAsia="仿宋" w:cs="仿宋"/>
          <w:sz w:val="32"/>
          <w:szCs w:val="32"/>
        </w:rPr>
        <w:t>2021年本部门一般公共预算拨款支出预算</w:t>
      </w:r>
      <w:r>
        <w:rPr>
          <w:rFonts w:ascii="仿宋" w:hAnsi="仿宋" w:eastAsia="仿宋" w:cs="仿宋"/>
          <w:sz w:val="32"/>
          <w:szCs w:val="32"/>
        </w:rPr>
        <w:t>2276.47</w:t>
      </w:r>
      <w:r>
        <w:rPr>
          <w:rFonts w:hint="eastAsia" w:ascii="仿宋" w:hAnsi="仿宋" w:eastAsia="仿宋" w:cs="仿宋"/>
          <w:sz w:val="32"/>
          <w:szCs w:val="32"/>
        </w:rPr>
        <w:t>万元，其中，</w:t>
      </w:r>
      <w:r>
        <w:rPr>
          <w:rFonts w:hint="eastAsia" w:ascii="仿宋" w:hAnsi="仿宋" w:eastAsia="仿宋" w:cs="仿宋"/>
          <w:color w:val="auto"/>
          <w:sz w:val="32"/>
          <w:szCs w:val="32"/>
        </w:rPr>
        <w:t>一般公共服务支出</w:t>
      </w:r>
      <w:r>
        <w:rPr>
          <w:rFonts w:ascii="仿宋" w:hAnsi="仿宋" w:eastAsia="仿宋" w:cs="仿宋"/>
          <w:color w:val="auto"/>
          <w:sz w:val="32"/>
          <w:szCs w:val="32"/>
        </w:rPr>
        <w:t>2173.43</w:t>
      </w:r>
      <w:r>
        <w:rPr>
          <w:rFonts w:hint="eastAsia" w:ascii="仿宋" w:hAnsi="仿宋" w:eastAsia="仿宋" w:cs="仿宋"/>
          <w:color w:val="auto"/>
          <w:sz w:val="32"/>
          <w:szCs w:val="32"/>
        </w:rPr>
        <w:t>万元，占</w:t>
      </w:r>
      <w:r>
        <w:rPr>
          <w:rFonts w:ascii="仿宋" w:hAnsi="仿宋" w:eastAsia="仿宋" w:cs="仿宋"/>
          <w:color w:val="auto"/>
          <w:sz w:val="32"/>
          <w:szCs w:val="32"/>
        </w:rPr>
        <w:t>95.47</w:t>
      </w:r>
      <w:r>
        <w:rPr>
          <w:rFonts w:hint="eastAsia" w:ascii="仿宋" w:hAnsi="仿宋" w:eastAsia="仿宋" w:cs="仿宋"/>
          <w:color w:val="auto"/>
          <w:sz w:val="32"/>
          <w:szCs w:val="32"/>
        </w:rPr>
        <w:t>%；</w:t>
      </w:r>
      <w:r>
        <w:rPr>
          <w:rFonts w:hint="eastAsia" w:ascii="仿宋" w:hAnsi="仿宋" w:eastAsia="仿宋"/>
          <w:color w:val="auto"/>
          <w:sz w:val="32"/>
          <w:szCs w:val="32"/>
        </w:rPr>
        <w:t>住房保障支出</w:t>
      </w:r>
      <w:r>
        <w:rPr>
          <w:rFonts w:ascii="仿宋" w:hAnsi="仿宋" w:eastAsia="仿宋" w:cs="仿宋"/>
          <w:color w:val="auto"/>
          <w:sz w:val="32"/>
          <w:szCs w:val="32"/>
        </w:rPr>
        <w:t>103.04</w:t>
      </w:r>
      <w:r>
        <w:rPr>
          <w:rFonts w:hint="eastAsia" w:ascii="仿宋" w:hAnsi="仿宋" w:eastAsia="仿宋"/>
          <w:color w:val="auto"/>
          <w:sz w:val="32"/>
          <w:szCs w:val="32"/>
        </w:rPr>
        <w:t>万元，</w:t>
      </w:r>
      <w:r>
        <w:rPr>
          <w:rFonts w:ascii="仿宋" w:hAnsi="仿宋" w:eastAsia="仿宋"/>
          <w:color w:val="auto"/>
          <w:sz w:val="32"/>
          <w:szCs w:val="32"/>
        </w:rPr>
        <w:t>占</w:t>
      </w:r>
      <w:r>
        <w:rPr>
          <w:rFonts w:ascii="仿宋" w:hAnsi="仿宋" w:eastAsia="仿宋" w:cs="仿宋"/>
          <w:color w:val="auto"/>
          <w:sz w:val="32"/>
          <w:szCs w:val="32"/>
        </w:rPr>
        <w:t>4.53</w:t>
      </w:r>
      <w:r>
        <w:rPr>
          <w:rFonts w:hint="eastAsia" w:ascii="仿宋" w:hAnsi="仿宋" w:eastAsia="仿宋"/>
          <w:color w:val="auto"/>
          <w:sz w:val="32"/>
          <w:szCs w:val="32"/>
        </w:rPr>
        <w:t>%</w:t>
      </w:r>
      <w:r>
        <w:rPr>
          <w:rFonts w:ascii="仿宋" w:hAnsi="仿宋" w:eastAsia="仿宋"/>
          <w:color w:val="auto"/>
          <w:sz w:val="32"/>
          <w:szCs w:val="32"/>
        </w:rPr>
        <w:t>；</w:t>
      </w:r>
      <w:r>
        <w:rPr>
          <w:rFonts w:hint="eastAsia" w:ascii="仿宋" w:hAnsi="仿宋" w:eastAsia="仿宋" w:cs="仿宋"/>
          <w:sz w:val="32"/>
          <w:szCs w:val="32"/>
        </w:rPr>
        <w:t>具体安排情况如下：</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sz w:val="32"/>
          <w:szCs w:val="32"/>
        </w:rPr>
        <w:t>（一）基本支出：</w:t>
      </w:r>
      <w:r>
        <w:rPr>
          <w:rFonts w:hint="eastAsia" w:ascii="仿宋" w:hAnsi="仿宋" w:eastAsia="仿宋" w:cs="仿宋"/>
          <w:kern w:val="2"/>
          <w:sz w:val="32"/>
          <w:szCs w:val="32"/>
        </w:rPr>
        <w:t>2021年预算数为1864.22万元，是指为保障单位机构正常运转、完成日常工作任务而发生的各项支出，包括用于基本工资、津贴补贴等人员经费以及办公费、印刷费、水电费、办公设备购置等日常公用经费。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sz w:val="32"/>
          <w:szCs w:val="32"/>
        </w:rPr>
        <w:t>（二）项目支出：</w:t>
      </w:r>
      <w:r>
        <w:rPr>
          <w:rFonts w:hint="eastAsia" w:ascii="仿宋" w:hAnsi="仿宋" w:eastAsia="仿宋" w:cs="仿宋"/>
          <w:kern w:val="2"/>
          <w:sz w:val="32"/>
          <w:szCs w:val="32"/>
        </w:rPr>
        <w:t>2021年预算数为412.25万元，是指单位为完成特定行政工作任务或事业发展目标而发生的支出，包括社会管理事务专项、城市管理事务专项、公共服务事务专项、经济发展事务专项 、公共服务卫健事务专项 、公安安全事务专项，其中 ；社会管理事务专项93.09万元，主要用于党建、人大政协、社会化管理创新 、公共文明指数测评 、纪检 、文体活动等工作的开展。城市管理事务专项70.07万元，主要用于市容环境卫生、提质改造 、公共基础设施日常维护（含道路养护）、城市生活垃圾分类、环保宣传等方面工作的开展。公共服务事务专项42.91万元主要用于社会救助、拥军优属、劳动就业、社会保障、居家养老 、伤残 、死亡抚恤 、双拥 、优抚、社区社会组织管理等工作的开展，经济发展事务专项33.47万元，主要用于在辖区内的经济建设、产业发展、招商引资、协税护税、经信科技、统计等工作的开展。公共服务卫健事务专项71.99万元，主要用于在卫生、计生 、食品安全等工作的开展。公安安全事务专项32.5万元，主要用于安全生产、信访接访、治安巡防、消防、人民武装工作、社区矫正 、普法宣传等工作的开展。不可预计费68.22万元。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kern w:val="2"/>
          <w:sz w:val="32"/>
          <w:szCs w:val="32"/>
        </w:rPr>
      </w:pPr>
      <w:r>
        <w:rPr>
          <w:rFonts w:ascii="仿宋" w:hAnsi="仿宋" w:eastAsia="仿宋" w:cs="仿宋"/>
          <w:kern w:val="2"/>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sz w:val="32"/>
          <w:szCs w:val="32"/>
        </w:rPr>
        <w:t>（一）机关运行经费：</w:t>
      </w:r>
      <w:r>
        <w:rPr>
          <w:rFonts w:hint="eastAsia" w:ascii="仿宋" w:hAnsi="仿宋" w:eastAsia="仿宋" w:cs="仿宋"/>
          <w:kern w:val="2"/>
          <w:sz w:val="32"/>
          <w:szCs w:val="32"/>
        </w:rPr>
        <w:t>2021年街道办事处以及二级机构的机关运行经费财政拨款预算208.87万元，比2020年预算增加15.1万元，增长7.79%。主要原因是其他交通费用有所增加。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仿宋" w:hAnsi="仿宋" w:eastAsia="仿宋" w:cs="仿宋"/>
          <w:kern w:val="2"/>
          <w:sz w:val="32"/>
          <w:szCs w:val="32"/>
          <w:lang w:val="en-US" w:eastAsia="zh-CN"/>
        </w:rPr>
      </w:pPr>
      <w:r>
        <w:rPr>
          <w:rFonts w:hint="eastAsia" w:ascii="仿宋" w:hAnsi="仿宋" w:eastAsia="仿宋" w:cs="仿宋"/>
          <w:b/>
          <w:sz w:val="32"/>
          <w:szCs w:val="32"/>
        </w:rPr>
        <w:t>（二）“三公”经费预算：</w:t>
      </w:r>
      <w:r>
        <w:rPr>
          <w:rFonts w:hint="eastAsia" w:ascii="仿宋" w:hAnsi="仿宋" w:eastAsia="仿宋" w:cs="仿宋"/>
          <w:kern w:val="2"/>
          <w:sz w:val="32"/>
          <w:szCs w:val="32"/>
        </w:rPr>
        <w:t>2021年“三公”经费预算数为2万元，其中，公务接待费2万元，公务用车购置及运行费0万元（其中，公务用车购置费0万元，公务用车运行费0万元），因公出国（境）费0万元。2021年“三公”经费预算较2020年没有变化。</w:t>
      </w:r>
      <w:r>
        <w:rPr>
          <w:rFonts w:hint="eastAsia" w:ascii="仿宋" w:hAnsi="仿宋" w:eastAsia="仿宋" w:cs="仿宋"/>
          <w:kern w:val="2"/>
          <w:sz w:val="32"/>
          <w:szCs w:val="32"/>
          <w:lang w:val="en-US" w:eastAsia="zh-CN"/>
        </w:rPr>
        <w:t>主要原因是厉行节约。</w:t>
      </w:r>
    </w:p>
    <w:p>
      <w:pPr>
        <w:widowControl/>
        <w:spacing w:line="600" w:lineRule="exact"/>
        <w:ind w:firstLine="660"/>
        <w:rPr>
          <w:rFonts w:ascii="仿宋" w:hAnsi="仿宋" w:eastAsia="仿宋" w:cs="仿宋"/>
          <w:b/>
          <w:sz w:val="32"/>
          <w:szCs w:val="32"/>
          <w:highlight w:val="none"/>
          <w:u w:val="none"/>
        </w:rPr>
      </w:pPr>
      <w:r>
        <w:rPr>
          <w:rFonts w:hint="eastAsia" w:ascii="仿宋" w:hAnsi="仿宋" w:eastAsia="仿宋" w:cs="仿宋"/>
          <w:b/>
          <w:sz w:val="32"/>
          <w:szCs w:val="32"/>
        </w:rPr>
        <w:t>（三）一般性支出情况：</w:t>
      </w:r>
      <w:r>
        <w:rPr>
          <w:rFonts w:hint="eastAsia" w:ascii="仿宋" w:hAnsi="仿宋" w:eastAsia="仿宋" w:cs="仿宋"/>
          <w:bCs/>
          <w:sz w:val="32"/>
          <w:szCs w:val="32"/>
          <w:highlight w:val="none"/>
          <w:u w:val="none"/>
        </w:rPr>
        <w:t>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rPr>
        <w:t>5</w:t>
      </w:r>
      <w:r>
        <w:rPr>
          <w:rFonts w:hint="eastAsia" w:ascii="仿宋" w:hAnsi="仿宋" w:eastAsia="仿宋" w:cs="仿宋"/>
          <w:kern w:val="0"/>
          <w:sz w:val="32"/>
          <w:szCs w:val="32"/>
          <w:highlight w:val="none"/>
          <w:u w:val="none"/>
        </w:rPr>
        <w:t>万元，拟召开</w:t>
      </w:r>
      <w:r>
        <w:rPr>
          <w:rFonts w:hint="eastAsia" w:ascii="仿宋" w:hAnsi="仿宋" w:eastAsia="仿宋" w:cs="仿宋"/>
          <w:sz w:val="32"/>
          <w:szCs w:val="32"/>
          <w:highlight w:val="none"/>
          <w:u w:val="none"/>
        </w:rPr>
        <w:t>年终总结 、党建 、安监 、城管 、综治等</w:t>
      </w:r>
      <w:r>
        <w:rPr>
          <w:rFonts w:hint="eastAsia" w:ascii="仿宋" w:hAnsi="仿宋" w:eastAsia="仿宋" w:cs="仿宋"/>
          <w:kern w:val="0"/>
          <w:sz w:val="32"/>
          <w:szCs w:val="32"/>
          <w:highlight w:val="none"/>
          <w:u w:val="none"/>
        </w:rPr>
        <w:t>会议，人数</w:t>
      </w:r>
      <w:r>
        <w:rPr>
          <w:rFonts w:hint="eastAsia" w:ascii="仿宋" w:hAnsi="仿宋" w:eastAsia="仿宋" w:cs="仿宋"/>
          <w:sz w:val="32"/>
          <w:szCs w:val="32"/>
          <w:highlight w:val="none"/>
          <w:u w:val="none"/>
        </w:rPr>
        <w:t>715</w:t>
      </w:r>
      <w:r>
        <w:rPr>
          <w:rFonts w:hint="eastAsia" w:ascii="仿宋" w:hAnsi="仿宋" w:eastAsia="仿宋" w:cs="仿宋"/>
          <w:kern w:val="0"/>
          <w:sz w:val="32"/>
          <w:szCs w:val="32"/>
          <w:highlight w:val="none"/>
          <w:u w:val="none"/>
        </w:rPr>
        <w:t>人，内容为根据各办要求召开会议；培训费预算</w:t>
      </w:r>
      <w:r>
        <w:rPr>
          <w:rFonts w:hint="eastAsia" w:ascii="仿宋" w:hAnsi="仿宋" w:eastAsia="仿宋" w:cs="仿宋"/>
          <w:sz w:val="32"/>
          <w:szCs w:val="32"/>
          <w:highlight w:val="none"/>
          <w:u w:val="none"/>
        </w:rPr>
        <w:t>6.66万</w:t>
      </w:r>
      <w:r>
        <w:rPr>
          <w:rFonts w:hint="eastAsia" w:ascii="仿宋" w:hAnsi="仿宋" w:eastAsia="仿宋" w:cs="仿宋"/>
          <w:kern w:val="0"/>
          <w:sz w:val="32"/>
          <w:szCs w:val="32"/>
          <w:highlight w:val="none"/>
          <w:u w:val="none"/>
        </w:rPr>
        <w:t>元，拟开展</w:t>
      </w:r>
      <w:r>
        <w:rPr>
          <w:rFonts w:hint="eastAsia" w:ascii="仿宋" w:hAnsi="仿宋" w:eastAsia="仿宋" w:cs="仿宋"/>
          <w:sz w:val="32"/>
          <w:szCs w:val="32"/>
          <w:highlight w:val="none"/>
          <w:u w:val="none"/>
        </w:rPr>
        <w:t>党建 、安全生产 、食品安全 、创业就业等</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rPr>
        <w:t>1332</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rPr>
        <w:t>各办根据实际工作要求开展培训</w:t>
      </w:r>
      <w:r>
        <w:rPr>
          <w:rFonts w:hint="eastAsia" w:ascii="仿宋" w:hAnsi="仿宋" w:eastAsia="仿宋" w:cs="仿宋"/>
          <w:kern w:val="0"/>
          <w:sz w:val="32"/>
          <w:szCs w:val="32"/>
          <w:highlight w:val="none"/>
          <w:u w:val="none"/>
        </w:rPr>
        <w:t>；无节庆、晚会、论坛、赛事活动。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sz w:val="32"/>
          <w:szCs w:val="32"/>
        </w:rPr>
      </w:pPr>
      <w:r>
        <w:rPr>
          <w:rFonts w:hint="eastAsia" w:ascii="仿宋" w:hAnsi="仿宋" w:eastAsia="仿宋" w:cs="仿宋"/>
          <w:b/>
          <w:sz w:val="32"/>
          <w:szCs w:val="32"/>
        </w:rPr>
        <w:t>（四）政府采购情况：</w:t>
      </w:r>
      <w:r>
        <w:rPr>
          <w:rFonts w:hint="eastAsia" w:ascii="仿宋" w:hAnsi="仿宋" w:eastAsia="仿宋" w:cs="仿宋"/>
          <w:sz w:val="32"/>
          <w:szCs w:val="32"/>
        </w:rPr>
        <w:t>2021年长沙市开福区清水塘街道办事处政府采购预算总额433.5万元，其中：政府采购货物预算59.5万元、政府采购工程预算0万元、政府采购服务预算374万元。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kern w:val="0"/>
          <w:sz w:val="32"/>
          <w:szCs w:val="32"/>
          <w:highlight w:val="none"/>
        </w:rPr>
      </w:pPr>
      <w:r>
        <w:rPr>
          <w:rFonts w:hint="eastAsia" w:ascii="仿宋" w:hAnsi="仿宋" w:eastAsia="仿宋" w:cs="仿宋"/>
          <w:b/>
          <w:sz w:val="32"/>
          <w:szCs w:val="32"/>
        </w:rPr>
        <w:t>（五）国有资产占用使用及新增资产配置情况：</w:t>
      </w:r>
      <w:r>
        <w:rPr>
          <w:rFonts w:hint="eastAsia" w:ascii="仿宋" w:hAnsi="仿宋" w:eastAsia="仿宋" w:cs="仿宋"/>
          <w:kern w:val="0"/>
          <w:sz w:val="32"/>
          <w:szCs w:val="32"/>
        </w:rPr>
        <w:t>截至2020年12月31日，本部门共有车辆13辆，其中：一般公务用车0辆、一般执法执勤用车0辆、特种专业技术用车0辆、其他用车13辆，其他用车主要是道路养护车；单位价值50 万元以上通用设备 0 台 （套），单价 100 万元以上专用设备 0 台（套）。</w:t>
      </w:r>
      <w:r>
        <w:rPr>
          <w:rFonts w:hint="eastAsia" w:ascii="仿宋" w:hAnsi="仿宋" w:eastAsia="仿宋" w:cs="仿宋"/>
          <w:bCs/>
          <w:kern w:val="0"/>
          <w:sz w:val="32"/>
          <w:szCs w:val="32"/>
          <w:highlight w:val="none"/>
        </w:rPr>
        <w:t>2021年拟新增配置公务用车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辆，其中，机要通信用车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辆，应急保障用车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辆，执法执勤用车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辆，特种专业技术用车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辆，其他按照规定配备的公务用车</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辆；新增配备单位价值50万元以上通用设备</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台，单位价值100万元以上专用设备</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台。</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sz w:val="32"/>
          <w:szCs w:val="32"/>
        </w:rPr>
      </w:pPr>
      <w:r>
        <w:rPr>
          <w:rFonts w:hint="eastAsia" w:ascii="仿宋" w:hAnsi="仿宋" w:eastAsia="仿宋" w:cs="仿宋"/>
          <w:b/>
          <w:bCs/>
          <w:sz w:val="32"/>
          <w:szCs w:val="32"/>
        </w:rPr>
        <w:t>（六）预算绩效目标说明：</w:t>
      </w:r>
      <w:r>
        <w:rPr>
          <w:rFonts w:hint="eastAsia" w:ascii="仿宋" w:hAnsi="仿宋" w:eastAsia="仿宋" w:cs="仿宋"/>
          <w:sz w:val="32"/>
          <w:szCs w:val="32"/>
        </w:rPr>
        <w:t>2021年清水塘街道整体支出绩效目标3533.56万元，其中：基本支出1864.22万元，项目支出1669.34万元，全部实行整体支出绩效目标管理，涉及一般公共预算当年拨款2276.47万元。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2021年清水塘街道项目支出绩效目标1669.34万元，编报项目8个，其中：公共安全-安全生产项目120万元；公共安全-网格化管理305.04万元；经济发展项目95万元；城市管理项目423.78万元；公共服务-卫健工作项目100万元；社会管理项目262.09万元；公共服务项目295.21万元；其他事物项目68.22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4"/>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sz w:val="32"/>
          <w:szCs w:val="32"/>
        </w:rPr>
      </w:pPr>
    </w:p>
    <w:p>
      <w:pPr>
        <w:widowControl/>
        <w:spacing w:line="600" w:lineRule="exact"/>
        <w:ind w:firstLine="66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ZDkwOWRlNTU1MjcwYTkyODc1OGY4ODhiZmFlOWEifQ=="/>
  </w:docVars>
  <w:rsids>
    <w:rsidRoot w:val="003D4F53"/>
    <w:rsid w:val="003D4F53"/>
    <w:rsid w:val="00694F33"/>
    <w:rsid w:val="00705AB2"/>
    <w:rsid w:val="007B0DBB"/>
    <w:rsid w:val="00D43522"/>
    <w:rsid w:val="00D9684C"/>
    <w:rsid w:val="00E72C83"/>
    <w:rsid w:val="00EA444A"/>
    <w:rsid w:val="00F307BD"/>
    <w:rsid w:val="00FE139D"/>
    <w:rsid w:val="5F1C5FAD"/>
    <w:rsid w:val="675D4D91"/>
    <w:rsid w:val="6C710A20"/>
    <w:rsid w:val="72AA1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3860</Words>
  <Characters>4169</Characters>
  <Lines>30</Lines>
  <Paragraphs>8</Paragraphs>
  <TotalTime>1</TotalTime>
  <ScaleCrop>false</ScaleCrop>
  <LinksUpToDate>false</LinksUpToDate>
  <CharactersWithSpaces>4234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2022-06-29T02:27:00Z</dcterms:created>
  <dc:creator>朱嘉</dc:creator>
  <cp:lastModifiedBy>WQ</cp:lastModifiedBy>
  <dcterms:modified xsi:type="dcterms:W3CDTF">2022-08-19T02:09:04Z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191F4CBD5E844E54A39E86848CB02EA2</vt:lpwstr>
  </property>
</Properties>
</file>