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numPr>
          <w:ilvl w:val="0"/>
          <w:numId w:val="0"/>
        </w:numPr>
        <w:rPr>
          <w:rFonts w:eastAsia="黑体"/>
          <w:sz w:val="32"/>
          <w:szCs w:val="32"/>
        </w:rPr>
      </w:pPr>
    </w:p>
    <w:p>
      <w:pPr>
        <w:pStyle w:val="8"/>
        <w:tabs>
          <w:tab w:val="center" w:pos="4213"/>
          <w:tab w:val="right" w:pos="8306"/>
        </w:tabs>
        <w:spacing w:line="600" w:lineRule="exact"/>
        <w:jc w:val="center"/>
        <w:rPr>
          <w:rFonts w:hint="eastAsia" w:hAnsi="黑体"/>
          <w:color w:val="auto"/>
          <w:sz w:val="44"/>
          <w:szCs w:val="44"/>
        </w:rPr>
      </w:pPr>
      <w:r>
        <w:rPr>
          <w:rFonts w:hint="eastAsia" w:hAnsi="黑体"/>
          <w:color w:val="auto"/>
          <w:sz w:val="44"/>
          <w:szCs w:val="44"/>
        </w:rPr>
        <w:t>20</w:t>
      </w:r>
      <w:r>
        <w:rPr>
          <w:rFonts w:hint="eastAsia" w:hAnsi="黑体"/>
          <w:color w:val="auto"/>
          <w:sz w:val="44"/>
          <w:szCs w:val="44"/>
          <w:lang w:val="en-US" w:eastAsia="zh-CN"/>
        </w:rPr>
        <w:t>20</w:t>
      </w:r>
      <w:r>
        <w:rPr>
          <w:rFonts w:hint="eastAsia" w:hAnsi="黑体"/>
          <w:color w:val="auto"/>
          <w:sz w:val="44"/>
          <w:szCs w:val="44"/>
        </w:rPr>
        <w:t>年度</w:t>
      </w:r>
      <w:r>
        <w:rPr>
          <w:rFonts w:hint="eastAsia" w:hAnsi="黑体"/>
          <w:color w:val="auto"/>
          <w:sz w:val="44"/>
          <w:szCs w:val="44"/>
          <w:lang w:val="en-US" w:eastAsia="zh-CN"/>
        </w:rPr>
        <w:t>捞刀河</w:t>
      </w:r>
      <w:r>
        <w:rPr>
          <w:rFonts w:hint="eastAsia" w:hAnsi="黑体"/>
          <w:color w:val="auto"/>
          <w:sz w:val="44"/>
          <w:szCs w:val="44"/>
        </w:rPr>
        <w:t>街道</w:t>
      </w:r>
    </w:p>
    <w:p>
      <w:pPr>
        <w:pStyle w:val="8"/>
        <w:tabs>
          <w:tab w:val="center" w:pos="4213"/>
          <w:tab w:val="right" w:pos="8306"/>
        </w:tabs>
        <w:spacing w:line="600" w:lineRule="exact"/>
        <w:jc w:val="center"/>
        <w:rPr>
          <w:rFonts w:hint="eastAsia" w:hAnsi="黑体" w:eastAsia="黑体"/>
          <w:color w:val="auto"/>
          <w:sz w:val="44"/>
          <w:szCs w:val="44"/>
          <w:lang w:eastAsia="zh-CN"/>
        </w:rPr>
      </w:pPr>
      <w:r>
        <w:rPr>
          <w:rFonts w:hint="eastAsia" w:hAnsi="黑体"/>
          <w:color w:val="auto"/>
          <w:sz w:val="44"/>
          <w:szCs w:val="44"/>
        </w:rPr>
        <w:t>整体支出绩效评价报告</w:t>
      </w:r>
    </w:p>
    <w:p>
      <w:pPr>
        <w:widowControl/>
        <w:ind w:firstLine="640"/>
        <w:rPr>
          <w:rFonts w:eastAsia="黑体"/>
          <w:sz w:val="32"/>
          <w:szCs w:val="32"/>
        </w:rPr>
      </w:pPr>
      <w:r>
        <w:rPr>
          <w:rFonts w:hint="eastAsia" w:ascii="Times New Roman" w:hAnsi="Times New Roman" w:eastAsia="仿宋_GB2312" w:cs="Times New Roman"/>
          <w:kern w:val="0"/>
          <w:sz w:val="32"/>
          <w:szCs w:val="32"/>
        </w:rPr>
        <w:t>为进一步规范财政资金管理，强化部门责任意识，切实提高财政资金使用效益，根据财政部及的有关规定，我街道积极参与对20</w:t>
      </w:r>
      <w:r>
        <w:rPr>
          <w:rFonts w:hint="eastAsia" w:eastAsia="仿宋_GB2312" w:cs="Times New Roman"/>
          <w:kern w:val="0"/>
          <w:sz w:val="32"/>
          <w:szCs w:val="32"/>
          <w:lang w:val="en-US" w:eastAsia="zh-CN"/>
        </w:rPr>
        <w:t>20</w:t>
      </w:r>
      <w:r>
        <w:rPr>
          <w:rFonts w:hint="eastAsia" w:ascii="Times New Roman" w:hAnsi="Times New Roman" w:eastAsia="仿宋_GB2312" w:cs="Times New Roman"/>
          <w:kern w:val="0"/>
          <w:sz w:val="32"/>
          <w:szCs w:val="32"/>
        </w:rPr>
        <w:t>年度部门整体支出绩效评价的工作，现将具体的情况报告如下: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一、单位基本情况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（一）在职人员情况。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2020年街道年末实有人数83人，其中在职47人（其中行政编16人，事业编29，雇员1人，参照事业编管理1人），退休36人。  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退休人员离世1人，新增2人。  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在职人数调入7人，调出4人。  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（二）机构设置。</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捞刀河街道单位内设机构包括：  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设置5个党政机构：党政综合办公室、基层党建办公室、城市管理办公室（加挂区域建设服务办公室、农业农村办公室）、公共服务办公室（加挂行政审批服务办公室、优化营商环境服务办公室、退役军人服务站牌子）、公共安全办公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2.设置1个执法机构：综合行政执法队。负责统筹协调派驻机构和基层执法力量，开展联合执法工作。  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3.设置 2个街道所属事业单位：街道政务服务中心（街道党群服务中心）、街道网格化综合服务中心。  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4.其他事项：（1）派驻机构的设置、职责和编制事项另行规定。  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（2）街道财政所机构编制事项维持不变。  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（3）街道劳动社会保障和最低生活保障管理服务站、水利管理所机构编制及人员身份维持不变。  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（4）街道议事协调机构或临时工作机构的日常工作由机关内设机构或事业单位承担，原则上不再另行加挂牌子。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（三）主要职能职责  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党政综合办公室。负责街道机关党务和行政事务工作；负责政协联络工作；负责机关文电、机要、保密、信息、会务、档案、督查督办、党务政务公开、后勤保障等工作；负责绩效考核工作；负责重要事项的综合协调和重要文稿的起草审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基层党建办公室。负责基层党的建设工作；负责宣传思想、意识形态、统一战线、民族宗教、网络安全工作；负责牵头开展辖区内精神文明建设工作；负责干部人事、机构编制、老干、关协和机关干部队伍建设等工作；组织协调辖区内群团组织开展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3）城市管理办公室（加挂区域建设服务办公室、农业农村办公室）。主要负责市、区关于辖区发展重大建设规划的落实；负责规划建设、住房保障、物业管理、人民防空、城市人居环境改造等工作；负责农业技术推广、畜牧防疫、美丽乡村建设、乡村振兴等工作；组织实施和统筹协调城市综合管理工作，负责文明创建、市容环境、交通运输、市场监管、农林水务（河长制）、生态环境保护等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4）公共服务办公室（加挂行政审批服务办公室、优化营商环境服务办公室、退役军人服务站牌子）。主要负责辖区内人力资源社会保障、民政、社会救助、教育、科技、文化、旅游、体育、卫生健康、医疗保障等工作；负责指导基层开展自治；负责辖区社会经济调查统计，优化区域发展环境；负责退役军人服务管理工作；负责行政审批事项的组织实施，指导街道政务服务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（5）公共安全办公室。负责辖区内社会管理综合治理、维稳、防范邪教、司法、禁毒、应急管理、防汛抗旱、森林防火、消防、信访以及遗留问题处置等工作；指导辖区内网格化综合管理工作。  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 二、一般公共预算支出情况</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2020年一般公共预算拨款支出5033.45万元，具体安排情况如下：  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（一）基本支出情况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2020年一般公共预算拨款基本支出预算数为 1514.26万元，是指为保障单位机构正常运转、完成日常工作任务而发生的各项支出，包括用于基本工资、津贴补贴、退休人员职业年金等人员经费以及办公费、印刷费、水电费、物业管理费、办公设备购置等日常公用经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  （二）项目支出情况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2020年一般公共预算拨款项目支出预算数为3519.19万元，是指单位为完成特定行政工作任务或事业发展目标而发生的支出，包括：  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公共服务支出701.13 万元，主要用于流动人口管理经费4.75万元、计生培训及宣传教育经费9.5万元、计生手术费2.85万元、计生家庭意外伤害保险经费2.85万元、献血经费7.13万元、其他计生事务26.65万元、劳动力培训及就业补助经费2.85万元、社区工作经费281.28万元、春节慰问经费24.67万元、高龄事务经费64.20万元、临时救济经费7.85万元、两保工资福利支出63.99，其他社会保障事务支出202.56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经济发展支出64.2 万元，主要用于协税护税8.55万元、财政所建设经费3.8万元、财源建设、招商引资及产业发展经费2.85万元、统计工作3万元、财源建设奖42.2万元，其他经济发展事务经费3.8万元。  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农业发展支出 1062.85万元，主要用于村级运行经费350万元、森林防火经费24.75万元、动物防疫经费2.85万元、村居非税返还286万元、其他涉农事务399.25万元。  </w:t>
      </w:r>
      <w:r>
        <w:rPr>
          <w:rFonts w:hint="eastAsia" w:ascii="仿宋" w:hAnsi="仿宋" w:eastAsia="仿宋" w:cs="仿宋"/>
          <w:color w:val="auto"/>
          <w:kern w:val="2"/>
          <w:sz w:val="32"/>
          <w:szCs w:val="32"/>
          <w:lang w:val="en-US" w:eastAsia="zh-CN" w:bidi="ar-SA"/>
        </w:rPr>
        <w:t xml:space="preserve"> </w:t>
      </w:r>
      <w:r>
        <w:rPr>
          <w:rFonts w:hint="default" w:ascii="仿宋" w:hAnsi="仿宋" w:eastAsia="仿宋" w:cs="仿宋"/>
          <w:color w:val="auto"/>
          <w:kern w:val="2"/>
          <w:sz w:val="32"/>
          <w:szCs w:val="32"/>
          <w:lang w:val="en-US" w:eastAsia="zh-CN" w:bidi="ar-SA"/>
        </w:rPr>
        <w:t>社会管理支出339.66万元，主要用于党建事务25.60万元、人大政协经费9.5万元、纪检监察3.56万元、文体活动8.55万元、群众团体统战事务4.98万元、预备役工作7.6万元、工会活动6万元、其他社会发展事务42.80万元、消防经费2.85万元、信访接访经费14.25万元、交通整治及其他重点整治2.14万元、扫黑除恶经费50万元、社区戒毒康复经费2.14万元、安全生产、信息员补助经费11.4万元、党务工作者工资福利支出23.03万元，超编临聘人员工资福利支出111.80万元，其他维稳事务13.46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城市管理支出831.75万元，主要用于广告招牌整治经费4.75万元、背街小巷清扫165万元、拆违控违经费14.25万元、城管中队考核奖励经费44.40万元、三大员、物业专干、食安专干工资福利支出291.00万元，其他城乡社区管理事务312.35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其他事务支出519.60万元，主要用于搬迁政府采购办公设备30万元、职工食堂费50万元、办公楼租赁费120万元、新办公楼装修300万，不可预计费19.60万元。  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三、部门整体支出绩效情况</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（一）绩效目标设置情况  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经济发展项目：做好承担优化经济环境、招商引资、产业发展、两型社会建设、商业网点建设管理、财源培植工作；做好统计、环保、科技、金融证券及街道工商联分会等工作；做好街道财务管理和国有资产管理等工作；做好指导和监督村社区财务管理，协助税收征管等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城市管理项目：做好城市管理、治安管理、治安巡防及人武工作；做好城市建设工作，协助做好交通、人防、国土资源管理、规划建设、征收拆迁安置、能源、电力等工作</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r>
        <w:rPr>
          <w:rFonts w:hint="eastAsia" w:ascii="仿宋" w:hAnsi="仿宋" w:eastAsia="仿宋" w:cs="仿宋"/>
          <w:color w:val="auto"/>
          <w:kern w:val="2"/>
          <w:sz w:val="32"/>
          <w:szCs w:val="32"/>
          <w:lang w:val="en-US" w:eastAsia="zh-CN" w:bidi="ar-SA"/>
        </w:rPr>
        <w:t xml:space="preserve"> </w:t>
      </w:r>
      <w:r>
        <w:rPr>
          <w:rFonts w:hint="default" w:ascii="仿宋" w:hAnsi="仿宋" w:eastAsia="仿宋" w:cs="仿宋"/>
          <w:color w:val="auto"/>
          <w:kern w:val="2"/>
          <w:sz w:val="32"/>
          <w:szCs w:val="32"/>
          <w:lang w:val="en-US" w:eastAsia="zh-CN" w:bidi="ar-SA"/>
        </w:rPr>
        <w:t>公共服务项目：做好街道人口与计划生育工作，负责计生协会、十字会相关工作；做好劳动社会保障、最低生活保障、民政、住房保障、农村新型合作医疗、社会救助、民政优抚、救灾救济、劳动力资源管理、开展职业技能培训和劳务输出、劳动争议调解、社会保险等工作；做好各种自然灾害应对预案的制定和执行等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农业发展项目：做好农村经营管理、农业技术、畜牧、农业机械、水资源管理、给排水管理协调、防汛抗旱、森林防火、农田水利建设和水利科技推广、科技推广、科普培训等公共服务工作。  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社会管理项目：做好党委、人大、政府、政协交办的各项日常工作，负责各部门、各方面的综合协调，督促检查有关工作的落实；做好教育、文化体育、文化宣传、广播影视、文艺演出等工作，负责纪检监察、组织、宣传、统战、编制、人事、老干、关协、民族宗教、工会、团委、妇联、机关后勤等工作；做好社会管理综合治理、维护社会稳定、安监和司法工作；做好社会管理创新、信访、消防、卫生、食品安全监督管理、法律援助、人民调解、社区矫正等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其他事务项目：维护街道日常工作运转，保证街道正常办公条件。  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（二）绩效目标完成情况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2020年整体支出6638.19万元，其中基本支出2148.11万元，项目支出4490.08万元，其中包括：经济发展支出34.71万元，城市管理支出780.08万元，公共服务支出1039.10万元，农业发展支出1685.28万元，社会管理支出597.66万元，其他事务支出353.25万元。具体完成情况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经济发展项目:  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主要经济指标完成情况：2020年全年完成规模以上其他营利性服务业营业收入5315万元；完成工业产值40115.13万元；完成限上社零37677.9万元；完成固定资产投资36亿元，同比增长24.1%；完成房产税226万元，完成财税收入26362万元，完成财税年度任务的106.78%。新增四上企业情况，新增四上房地产企业3家，建筑业1家，批零住餐企业1家，规模服务业企业1家。全街共计迁入7家企业税务关系，预计全年新增税收35万元；全年引进25家税源企业，总纳税额达到200万元以上。按照区人普办要求顺利完成七人普工作，共登记15593户，登记总人数52346人，户籍人口30215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bookmarkStart w:id="0" w:name="_GoBack"/>
      <w:bookmarkEnd w:id="0"/>
      <w:r>
        <w:rPr>
          <w:rFonts w:hint="default" w:ascii="仿宋" w:hAnsi="仿宋" w:eastAsia="仿宋" w:cs="仿宋"/>
          <w:color w:val="auto"/>
          <w:kern w:val="2"/>
          <w:sz w:val="32"/>
          <w:szCs w:val="32"/>
          <w:lang w:val="en-US" w:eastAsia="zh-CN" w:bidi="ar-SA"/>
        </w:rPr>
        <w:t>城市管理项目</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违法用地和违章建筑管控工作建立和完善“早发现、早制止、早处置”的长效机制，拆除新增违建21处，面积2590㎡；拆除历史违建178处，面积99847.5㎡；全年新增图斑22处，现已整改21处。环境整治工作为使街道辖区内居民人人参与到城乡环境整洁行动中来，我街道组织各村居做好宣传活动，制作宣传类横幅200多条，禁止焚烧垃圾类横幅100多条，发放宣传资料、宣传册10000余份。并在街道范围内积极开展“清洁长沙”、“爱护母亲河、水域大清扫”等行动，处理数字化案件3500余件，共计出动挖机、垃圾车等机械工具700多台次，清理建筑垃圾120余处，清理裸露垃圾、堆物5000余吨。蓝天保卫战工作2020年，街道共计开展执法行动500余次，查处露天焚烧案例54例，累计罚款47000元；查处私设建筑垃圾弃置场行为13例，累计罚款39000元；查处未按规定运输建筑垃圾案件43例，累计罚款101000元，查处带泥上路行为3起，累计罚款6000元；联合区环保局、区工信局对30余家散乱污企业开展环保执法行动，清退散乱污企业20家。年度市级以上媒体宣传23条，其中新湖南17条，长沙环保4条,新开福2条。被开福区评为2020年度污染防治先进单位。垃圾分类工作街道严格落实垃圾分类攻坚战工作要求，制订《捞刀河街道垃圾分类管理制度》和《捞刀河街道垃圾分类处理考核办法》，将湿垃圾收运作为全年垃圾分类的重点工作，湿垃圾收运量从年初的1000余公斤上升到日均万余公斤；查处街道辖区内企业及餐饮门店垃圾分类工作不到位案例12起，共计罚款12800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公共服务项目：  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民政线工作：民政民生方面认真落实“应保尽保”，加强低保工作的动态管理，建立了一户一档，我街道享受城乡居民低保的困难居民有318户594人，累计发放保障金260万余元；认真实施城乡困难群众大病医疗救助、临时生活救助、无固定收入重残人员生活救助制度，落实救助措施，切实惠民利民。临时救助 39人，救助金额4.58万元。积极开展慈善助学，今年为辖区14个考上高中、大学的困难学生发放助学金共计5万元。开展教育帮扶28人次帮扶金额9.6万元；扎实开展城市特困群体帮扶活动，根据家庭情况开展“一对一”结对帮扶86户。通过开展急难、医疗、住房、就业和基本生活帮扶的“五帮扶”专项活动，全年共计帮扶167户，发放帮扶资金28.75万元；用心开展为老帮扶工作，目前我辖区共有60岁以上老人4650名，80岁以上老人516人享受高龄补贴，累计发放高龄补贴50余万元。社区积极开展居家养老服务活动，辖区共有居家养老服务中心3个，为辖区居民提供日间照料服务；积极落实困境儿童相关政策，今年开展困境儿童助学72人，发放助学款7.15万余元；人力资源和社会保障方面：积极促进本地居民就业：我街道组织线上专场招聘会一次，参与招聘企业25家，求职人数近300人。通过多种渠道，累计发放各类宣传资料6000余份。全年城镇新增就业461人次，失业再就业195人，就业困难对象再就业122人，扶持大学生创业18人次；开展各类技能培训200人次，今年新增农村劳动力转移43人次；积极配合企业退休人员养老金领取资格认证的工作，全年完成退休职工认证2865人次；退役军人事务方面：全街共有退役军人654名，其中优抚对象161人。切实加强退役军人服务管理工作、宣传双拥及退役军人先进事迹工作，动员退役军人参与街道及村居建设工作。疫情期间动员辖区退役军人参与疫情防控工作，全街共有100多名退役军人参与到街道社区的防疫工作。对164名领取优抚资金的优抚对象开展年度核查工作，优抚费全部按时足额发放到位。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计生线工作：2020年1月1日到2020年12月22日，出生人口233人， 符合政策生育率为97.4%。出生人口性别分布上，男孩117人，女孩116人，性别比为100.9%。妇幼健康方面：截至目前，街道已组织93对夫妻参加免费孕前优生健康检查服务，完成进度为100%;已组织27位妇女进行围绝经取环；已为9对夫妻提供爱心助孕。流动人口方面：通过流动人口集中清查，清理清查流动人口7895人，同时加大流动人口计生卫生服务力度。奖励扶助方面：独生子女保健费领取829人；拆迁审核独生子女证58本；特别扶助对象35人；农村奖扶对象342人；城镇独生子女父母奖励对象每月按期上报，目前已申报办理77人；村（社区）一站办结老年优待证150本。今年以来，所有计生奖扶对象已严格按进度按要求上报奖扶系统，无漏报、无错报，确保奖扶政策落实到位。卫生工作方面：3月27日组织228名群众参加无偿献血，任务完成率101.3%；开展传染病防护培训4次，组织565名小学生分批次参加培训；组织526名已婚育龄妇女参加免费农村妇女两癌筛查，完成进度100%。宣传活动方面：开展“529”协会活动日暨“健幸福家庭”评选，共表彰幸福家庭13户，发放宣传资料1000余册，免费药具6000余盒。12月8日在高岭社区向家湾小区组织辖区群众300余人参加区卫健局与第一医院联合主办的：2020年第33个世界艾滋病日宣传教育活动，取得了圆满成功。爱国卫生方面：对辖区11个村、社区，进行杀蟑热烟雾剂喷洒110升，投放杀虫颗粒剂8000克，氯氰菊酯7000毫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农业发展项目:  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种植结构调整工作：我街道涉及共19个种植结构调整的点位，涉及6个片区。2020年发2019年1886.59亩种植结构调整发放补贴1405841元。2020年发放2019年10941.7亩耕地地力保护补贴1149015.7元；发放2018年447.85亩稻谷目标价格补贴8921.21元，发放2019年584.28亩稻谷目标价格16214.03元。发放2020年722.46亩稻谷目标差价19376.43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森林防火工作：涉及多个村（社区）共8050.5亩（536.7公顷）重点节假日宣传。春节期间悬挂森林防火横幅80条，清明节悬挂森林防火横幅30条，中秋节、国庆节悬挂禁烧横幅60条，并进行宣传车宣传，守点巡查，重点地段进行设关设卡。2020年改厕任务为700座，实际完成714座。街道河长办联合城管公安、特警对垂钓人员进行劝离，巡岸100余公里，劝离垂钓人员200余人，张贴禁捕退捕宣传公告100余份。发现非法捕捞事件4起，通过渔政执法对其工具进行收缴，对当事人进行现场批评教育；加强内湖渠道日常巡查，发现因项目施工倾倒泥土堵塞渠道2起，积极与施工沟通，限期进行恢复。对19.04公里防洪大堤内外两侧进行地毯式砍青，对渠道进行清淤扫障；罗汉庄村大星片区小微水体示范片区通过砍青植绿、建路灯、改厕建隔油池等，实现200余亩小微水体示范小区沟渠畅通，塘坝整洁，环境优美，水体清澈干净；3月对泗耳湖进行全面清淤，对泗耳湖便桥进行改造，已经完工。针对中干渠部分水体发黑发臭问题，9月已对王家湖北端进行紧急清淤。十月国庆节对蔡家坝进行清淤整治。为保护捞刀河流域生态平衡，按照上级要求，我街道加强了禁渔管理，对辖区内“三无船舶”摸底登记，已清理上岸河道渔船24条，销毁6条，剩余“三无船舶”将严格按照上级要求进行清理。对全街道道路、桥梁开展了集中排查和整治。安装限高门4个，爆闪灯8个，提示牌5块。安装减速带364米，广角镜5个，安装爆闪灯2个，拆除破损灯杆1处，道路修补3处，道路清淤2处。安装了红绿灯2处，修复电线杆1处。修护护栏5处。清理树木倒塌2处。修复井盖1处。加强交通安全执法力度：交通站与交警、城管部门联合执法共7次。电动车整治工作：发放电动车宣传资料100余份，安装电动车牌6000余台。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社会管理项目:全面落实重点信访对象“五包一”措施，今年“两会”特护期特派工作人员进京维稳45天，在省市区各类大型会议及辖区较大行动中派出维稳力量约65人次，未发生规模性聚集上访事件。依法依规办理来信来访，成功化解了李建军、骆海山、刘建等重点信访对象的信访问题。细致做好矛盾化解，今年以来，共调解各类纠纷60余起，其中复杂疑难纠纷2起。以生产安全、消防安全、交通安全为重点，常态落实领导带队检查和专项整治，持续开展“危化品地毯式大宣传、大排查、大清退”活动和打非治违行动。今年以来，共督查企业103家，发现整治隐患300余处，排除重大安全隐患42处，取缔各类“黑窝点”22处；平稳顺利完成安达十八站36条线路整体搬迁，安全生产代表区迎接市检获好评，半年度考核排名跃升全区第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9" w:beforeAutospacing="0" w:after="29"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街道党工委召开党建工作专题会议2次，中心组学习10次，组织党员集中宣讲3次，累计培训党员400余人次，进一步补足思想之钙，夯实思想之基。加强党务工作者队伍力量，选派10名党建指导员每月下到各村（社区）指导、督查党建工作；确保每村（社区）动态储备 2 名35 岁以下、大专学历以上后备力量，不断强化基层组织力量。街道党支部“五化”建设全部达标，今年新成立1个两新党支部，新增2个社区党支部。充分发挥各级党组织战斗堡垒作用和党员先锋模范作用，疫情防控期间组建党员和入党积极分子志愿服务队，助力长沙市公共卫生救治服务中心3天完成改造工程，2名入党积极分子因在抗疫一线表现突出火线入党。坚持把支部建在项目上，成立白霞安置地项目临时党支部，为完成拆迁目标任务提供坚实的组织保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其他项目</w:t>
      </w:r>
      <w:r>
        <w:rPr>
          <w:rFonts w:hint="default" w:ascii="仿宋" w:hAnsi="仿宋" w:eastAsia="仿宋" w:cs="仿宋"/>
          <w:color w:val="auto"/>
          <w:kern w:val="2"/>
          <w:sz w:val="32"/>
          <w:szCs w:val="32"/>
          <w:lang w:val="en-US" w:eastAsia="zh-CN" w:bidi="ar-SA"/>
        </w:rPr>
        <w:t>:主要涉及办公楼租赁费、职工食堂费、搬迁新办公楼政府采购办公设备、新办公楼装修和不可预计费用。职工食堂费约155人就餐，按32元/餐的标准就餐；新办公楼年租金130万/年；街道搬迁预计空调拆装费8000元左右，挂机拆装53台，100元/台，3匹柜机拆装8台，200元/台 ；5匹柜机拆装4台，240元/台；预计办公室物品搬运10000元左右，500元/车，共20车。  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四、存在的主要问题及下一步改进措施</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存在的主要问题有以下几点：  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1、绩效管理的机制不完善。目前仅停留在考评层面，没有形成一个完整的绩效评价和应用管理体系。  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2、绩效管理的人员配备有待加强。随着工作范围和内容的逐步加大，人员配备不到位的问题也越来越明显，人员不足致使绩效管理工作受到一定程度制约。  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下一步改进措施如下：  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1、严格考评、抓好落实。认真履行考评职责，跟踪对照各自负责考评的指标，制定指标就要按标准考评，细化安排，制定措施，强化意识。  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2、增设绩效管理岗位，强化绩效考评人员的培训，确保绩效管理工作的连贯性。  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五、绩效自评结果拟应用和公开情况</w:t>
      </w:r>
      <w:r>
        <w:rPr>
          <w:rFonts w:hint="default" w:ascii="仿宋" w:hAnsi="仿宋" w:eastAsia="仿宋" w:cs="仿宋"/>
          <w:color w:val="auto"/>
          <w:kern w:val="2"/>
          <w:sz w:val="32"/>
          <w:szCs w:val="32"/>
          <w:lang w:val="en-US" w:eastAsia="zh-CN" w:bidi="ar-SA"/>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根据预算绩效管理要求，我单位对2020年整体支出和项目支出开展绩效自评，2020年整体支出6638.19万元，其中基本支出2148.11万元，项目支出4490.08万元，涉及项目包括：公共服务支出1039.10万元，经济发展支出34.71万元，农业发展支出1685.28万元，社会管理支出597.66万元，城市管理支出780.08万元，其他事务支出353.25万元。从评价情况来看，6个子项目自评为优，完成率为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我单位2020年部门整体支出绩效评价评分结果为96分，根据绩效评价等级划分标准，评价等级为优。  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lang w:val="en-US" w:eastAsia="zh-CN" w:bidi="ar-SA"/>
        </w:rPr>
      </w:pPr>
      <w:r>
        <w:rPr>
          <w:rFonts w:hint="default" w:ascii="仿宋" w:hAnsi="仿宋" w:eastAsia="仿宋" w:cs="仿宋"/>
          <w:color w:val="auto"/>
          <w:kern w:val="2"/>
          <w:sz w:val="32"/>
          <w:szCs w:val="32"/>
          <w:lang w:val="en-US" w:eastAsia="zh-CN" w:bidi="ar-SA"/>
        </w:rPr>
        <w:t>部门预算和部门决算已按照财政厅预算、决算公开要求公开。</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p>
    <w:p>
      <w:pPr>
        <w:widowControl/>
        <w:ind w:firstLine="640"/>
        <w:rPr>
          <w:rFonts w:hint="eastAsia" w:ascii="Times New Roman" w:hAnsi="Times New Roman"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163AF"/>
    <w:rsid w:val="01450695"/>
    <w:rsid w:val="13A568D6"/>
    <w:rsid w:val="173779EC"/>
    <w:rsid w:val="40E817FB"/>
    <w:rsid w:val="691610AE"/>
    <w:rsid w:val="6B416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2021-10-11T03:20:00Z</dcterms:created>
  <dc:creator>Administrator</dc:creator>
  <cp:lastModifiedBy>LJ</cp:lastModifiedBy>
  <dcterms:modified xsi:type="dcterms:W3CDTF">2022-06-30T06:50:21Z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