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eastAsia="方正小标宋简体"/>
          <w:color w:val="000000"/>
          <w:sz w:val="44"/>
          <w:szCs w:val="44"/>
          <w:lang w:val="en-US"/>
        </w:rPr>
      </w:pPr>
      <w:r>
        <w:rPr>
          <w:rFonts w:hint="eastAsia" w:ascii="方正小标宋简体" w:eastAsia="方正小标宋简体"/>
          <w:color w:val="000000"/>
          <w:sz w:val="44"/>
          <w:szCs w:val="44"/>
          <w:lang w:val="en-US" w:eastAsia="zh-CN"/>
        </w:rPr>
        <w:t>2020年度重点</w:t>
      </w:r>
      <w:r>
        <w:rPr>
          <w:rFonts w:hint="eastAsia" w:ascii="方正小标宋简体" w:eastAsia="方正小标宋简体"/>
          <w:color w:val="000000"/>
          <w:sz w:val="44"/>
          <w:szCs w:val="44"/>
        </w:rPr>
        <w:t>项目绩效</w:t>
      </w:r>
      <w:r>
        <w:rPr>
          <w:rFonts w:hint="eastAsia" w:ascii="方正小标宋简体" w:eastAsia="方正小标宋简体"/>
          <w:color w:val="000000"/>
          <w:sz w:val="44"/>
          <w:szCs w:val="44"/>
          <w:lang w:val="en-US" w:eastAsia="zh-CN"/>
        </w:rPr>
        <w:t>评价结果</w:t>
      </w:r>
    </w:p>
    <w:p>
      <w:pPr>
        <w:spacing w:line="560" w:lineRule="exact"/>
        <w:outlineLvl w:val="0"/>
        <w:rPr>
          <w:rFonts w:eastAsia="黑体"/>
          <w:kern w:val="0"/>
          <w:sz w:val="32"/>
          <w:szCs w:val="32"/>
        </w:rPr>
      </w:pPr>
    </w:p>
    <w:p>
      <w:pPr>
        <w:numPr>
          <w:ilvl w:val="0"/>
          <w:numId w:val="1"/>
        </w:numPr>
        <w:spacing w:line="560" w:lineRule="exact"/>
        <w:ind w:left="-420" w:leftChars="0" w:firstLine="420" w:firstLineChars="0"/>
        <w:rPr>
          <w:rFonts w:eastAsia="黑体"/>
          <w:sz w:val="32"/>
          <w:szCs w:val="32"/>
        </w:rPr>
      </w:pPr>
      <w:r>
        <w:rPr>
          <w:rFonts w:hint="eastAsia" w:eastAsia="黑体"/>
          <w:sz w:val="32"/>
          <w:szCs w:val="32"/>
          <w:lang w:eastAsia="zh-CN"/>
        </w:rPr>
        <w:t>重点</w:t>
      </w:r>
      <w:r>
        <w:rPr>
          <w:rFonts w:hint="eastAsia" w:eastAsia="黑体"/>
          <w:sz w:val="32"/>
          <w:szCs w:val="32"/>
        </w:rPr>
        <w:t>项目支出</w:t>
      </w:r>
      <w:r>
        <w:rPr>
          <w:rFonts w:eastAsia="黑体"/>
          <w:sz w:val="32"/>
          <w:szCs w:val="32"/>
        </w:rPr>
        <w:t>基本情况</w:t>
      </w:r>
    </w:p>
    <w:p>
      <w:pPr>
        <w:spacing w:line="560" w:lineRule="exact"/>
        <w:ind w:firstLine="640" w:firstLineChars="200"/>
        <w:rPr>
          <w:rFonts w:hint="eastAsia" w:ascii="仿宋_GB2312" w:hAnsi="仿宋" w:cs="仿宋"/>
          <w:sz w:val="32"/>
          <w:szCs w:val="32"/>
        </w:rPr>
      </w:pPr>
      <w:r>
        <w:rPr>
          <w:rFonts w:hint="eastAsia" w:ascii="仿宋_GB2312" w:hAnsi="仿宋" w:cs="仿宋"/>
          <w:sz w:val="32"/>
          <w:szCs w:val="32"/>
        </w:rPr>
        <w:t>2020年我单位</w:t>
      </w:r>
      <w:r>
        <w:rPr>
          <w:rFonts w:hint="eastAsia" w:ascii="仿宋_GB2312" w:hAnsi="仿宋" w:cs="仿宋"/>
          <w:sz w:val="32"/>
          <w:szCs w:val="32"/>
          <w:lang w:eastAsia="zh-CN"/>
        </w:rPr>
        <w:t>重点</w:t>
      </w:r>
      <w:r>
        <w:rPr>
          <w:rFonts w:hint="eastAsia" w:ascii="仿宋_GB2312" w:hAnsi="仿宋" w:cs="仿宋"/>
          <w:sz w:val="32"/>
          <w:szCs w:val="32"/>
        </w:rPr>
        <w:t>项目支出预算共</w:t>
      </w:r>
      <w:r>
        <w:rPr>
          <w:rFonts w:hint="eastAsia" w:ascii="仿宋_GB2312" w:hAnsi="仿宋" w:cs="仿宋"/>
          <w:sz w:val="32"/>
          <w:szCs w:val="32"/>
          <w:u w:val="single"/>
          <w:lang w:val="en-US" w:eastAsia="zh-CN"/>
        </w:rPr>
        <w:t>654.45</w:t>
      </w:r>
      <w:r>
        <w:rPr>
          <w:rFonts w:hint="eastAsia" w:ascii="仿宋_GB2312" w:hAnsi="仿宋" w:cs="仿宋"/>
          <w:sz w:val="32"/>
          <w:szCs w:val="32"/>
        </w:rPr>
        <w:t>万元，包含项目</w:t>
      </w:r>
      <w:r>
        <w:rPr>
          <w:rFonts w:hint="eastAsia" w:ascii="仿宋_GB2312" w:hAnsi="仿宋" w:cs="仿宋"/>
          <w:sz w:val="32"/>
          <w:szCs w:val="32"/>
          <w:u w:val="single"/>
        </w:rPr>
        <w:t xml:space="preserve"> </w:t>
      </w:r>
      <w:r>
        <w:rPr>
          <w:rFonts w:hint="eastAsia" w:ascii="仿宋_GB2312" w:hAnsi="仿宋" w:cs="仿宋"/>
          <w:sz w:val="32"/>
          <w:szCs w:val="32"/>
          <w:u w:val="single"/>
          <w:lang w:val="en-US" w:eastAsia="zh-CN"/>
        </w:rPr>
        <w:t>2</w:t>
      </w:r>
      <w:r>
        <w:rPr>
          <w:rFonts w:hint="eastAsia" w:ascii="仿宋_GB2312" w:hAnsi="仿宋" w:cs="仿宋"/>
          <w:sz w:val="32"/>
          <w:szCs w:val="32"/>
          <w:u w:val="single"/>
        </w:rPr>
        <w:t xml:space="preserve"> </w:t>
      </w:r>
      <w:r>
        <w:rPr>
          <w:rFonts w:hint="eastAsia" w:ascii="仿宋_GB2312" w:hAnsi="仿宋" w:cs="仿宋"/>
          <w:sz w:val="32"/>
          <w:szCs w:val="32"/>
        </w:rPr>
        <w:t>个，</w:t>
      </w:r>
      <w:r>
        <w:rPr>
          <w:rFonts w:hint="eastAsia" w:ascii="仿宋_GB2312" w:hAnsi="仿宋" w:cs="仿宋"/>
          <w:sz w:val="32"/>
          <w:szCs w:val="32"/>
          <w:lang w:eastAsia="zh-CN"/>
        </w:rPr>
        <w:t>分别为</w:t>
      </w:r>
      <w:r>
        <w:rPr>
          <w:rFonts w:hint="eastAsia" w:ascii="仿宋_GB2312" w:hAnsi="仿宋" w:cs="仿宋"/>
          <w:sz w:val="32"/>
          <w:szCs w:val="32"/>
          <w:u w:val="single"/>
          <w:lang w:eastAsia="zh-CN"/>
        </w:rPr>
        <w:t>公共服务项目</w:t>
      </w:r>
      <w:r>
        <w:rPr>
          <w:rFonts w:hint="eastAsia" w:ascii="仿宋_GB2312" w:hAnsi="仿宋" w:cs="仿宋"/>
          <w:sz w:val="32"/>
          <w:szCs w:val="32"/>
          <w:lang w:eastAsia="zh-CN"/>
        </w:rPr>
        <w:t>、</w:t>
      </w:r>
      <w:r>
        <w:rPr>
          <w:rFonts w:hint="eastAsia" w:ascii="仿宋_GB2312" w:hAnsi="仿宋" w:cs="仿宋"/>
          <w:sz w:val="32"/>
          <w:szCs w:val="32"/>
          <w:u w:val="single"/>
          <w:lang w:eastAsia="zh-CN"/>
        </w:rPr>
        <w:t>社会管理项目</w:t>
      </w:r>
      <w:r>
        <w:rPr>
          <w:rFonts w:hint="eastAsia" w:ascii="仿宋_GB2312" w:hAnsi="仿宋" w:cs="仿宋"/>
          <w:sz w:val="32"/>
          <w:szCs w:val="32"/>
          <w:lang w:eastAsia="zh-CN"/>
        </w:rPr>
        <w:t>，</w:t>
      </w:r>
      <w:r>
        <w:rPr>
          <w:rFonts w:hint="eastAsia" w:ascii="仿宋_GB2312" w:hAnsi="仿宋" w:cs="仿宋"/>
          <w:sz w:val="32"/>
          <w:szCs w:val="32"/>
        </w:rPr>
        <w:t>实际支出</w:t>
      </w:r>
      <w:r>
        <w:rPr>
          <w:rFonts w:hint="eastAsia" w:ascii="仿宋_GB2312" w:hAnsi="仿宋" w:cs="仿宋"/>
          <w:sz w:val="32"/>
          <w:szCs w:val="32"/>
          <w:u w:val="single"/>
        </w:rPr>
        <w:t xml:space="preserve"> </w:t>
      </w:r>
      <w:r>
        <w:rPr>
          <w:rFonts w:hint="eastAsia" w:ascii="仿宋_GB2312" w:hAnsi="仿宋" w:cs="仿宋"/>
          <w:sz w:val="32"/>
          <w:szCs w:val="32"/>
          <w:u w:val="single"/>
          <w:lang w:val="en-US" w:eastAsia="zh-CN"/>
        </w:rPr>
        <w:t>1022.17</w:t>
      </w:r>
      <w:r>
        <w:rPr>
          <w:rFonts w:hint="eastAsia" w:ascii="仿宋_GB2312" w:hAnsi="仿宋" w:cs="仿宋"/>
          <w:sz w:val="32"/>
          <w:szCs w:val="32"/>
          <w:u w:val="single"/>
        </w:rPr>
        <w:t xml:space="preserve"> </w:t>
      </w:r>
      <w:r>
        <w:rPr>
          <w:rFonts w:hint="eastAsia" w:ascii="仿宋_GB2312" w:hAnsi="仿宋" w:cs="仿宋"/>
          <w:sz w:val="32"/>
          <w:szCs w:val="32"/>
        </w:rPr>
        <w:t>万元（业务工作经费</w:t>
      </w:r>
      <w:r>
        <w:rPr>
          <w:rFonts w:hint="eastAsia" w:ascii="仿宋_GB2312" w:hAnsi="仿宋" w:cs="仿宋"/>
          <w:sz w:val="32"/>
          <w:szCs w:val="32"/>
          <w:u w:val="single"/>
        </w:rPr>
        <w:t xml:space="preserve"> </w:t>
      </w:r>
      <w:r>
        <w:rPr>
          <w:rFonts w:hint="eastAsia" w:ascii="仿宋_GB2312" w:hAnsi="仿宋" w:cs="仿宋"/>
          <w:sz w:val="32"/>
          <w:szCs w:val="32"/>
          <w:u w:val="single"/>
          <w:lang w:val="en-US" w:eastAsia="zh-CN"/>
        </w:rPr>
        <w:t>1022.17</w:t>
      </w:r>
      <w:r>
        <w:rPr>
          <w:rFonts w:hint="eastAsia" w:ascii="仿宋_GB2312" w:hAnsi="仿宋" w:cs="仿宋"/>
          <w:sz w:val="32"/>
          <w:szCs w:val="32"/>
          <w:u w:val="single"/>
        </w:rPr>
        <w:t xml:space="preserve"> </w:t>
      </w:r>
      <w:r>
        <w:rPr>
          <w:rFonts w:hint="eastAsia" w:ascii="仿宋_GB2312" w:hAnsi="仿宋" w:cs="仿宋"/>
          <w:sz w:val="32"/>
          <w:szCs w:val="32"/>
        </w:rPr>
        <w:t>万元、专项经费</w:t>
      </w:r>
      <w:r>
        <w:rPr>
          <w:rFonts w:hint="eastAsia" w:ascii="仿宋_GB2312" w:hAnsi="仿宋" w:cs="仿宋"/>
          <w:sz w:val="32"/>
          <w:szCs w:val="32"/>
          <w:u w:val="single"/>
        </w:rPr>
        <w:t xml:space="preserve"> 0 </w:t>
      </w:r>
      <w:r>
        <w:rPr>
          <w:rFonts w:hint="eastAsia" w:ascii="仿宋_GB2312" w:hAnsi="仿宋" w:cs="仿宋"/>
          <w:sz w:val="32"/>
          <w:szCs w:val="32"/>
        </w:rPr>
        <w:t>万元、政府专项经费</w:t>
      </w:r>
      <w:r>
        <w:rPr>
          <w:rFonts w:hint="eastAsia" w:ascii="仿宋_GB2312" w:hAnsi="仿宋" w:cs="仿宋"/>
          <w:sz w:val="32"/>
          <w:szCs w:val="32"/>
          <w:u w:val="single"/>
        </w:rPr>
        <w:t xml:space="preserve"> 0 </w:t>
      </w:r>
      <w:r>
        <w:rPr>
          <w:rFonts w:hint="eastAsia" w:ascii="仿宋_GB2312" w:hAnsi="仿宋" w:cs="仿宋"/>
          <w:sz w:val="32"/>
          <w:szCs w:val="32"/>
        </w:rPr>
        <w:t>万元），具体情况如下：</w:t>
      </w:r>
    </w:p>
    <w:p>
      <w:pPr>
        <w:spacing w:line="660" w:lineRule="exact"/>
        <w:ind w:firstLine="480" w:firstLineChars="200"/>
        <w:jc w:val="right"/>
        <w:rPr>
          <w:rFonts w:hint="eastAsia"/>
          <w:sz w:val="32"/>
          <w:szCs w:val="32"/>
        </w:rPr>
      </w:pPr>
      <w:r>
        <w:rPr>
          <w:rFonts w:hint="eastAsia"/>
          <w:sz w:val="24"/>
          <w:szCs w:val="24"/>
        </w:rPr>
        <w:t>金额单位：万元</w:t>
      </w:r>
    </w:p>
    <w:tbl>
      <w:tblPr>
        <w:tblStyle w:val="9"/>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057"/>
        <w:gridCol w:w="3588"/>
        <w:gridCol w:w="943"/>
        <w:gridCol w:w="1003"/>
        <w:gridCol w:w="899"/>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35" w:type="dxa"/>
            <w:vMerge w:val="restart"/>
            <w:noWrap w:val="0"/>
            <w:vAlign w:val="center"/>
          </w:tcPr>
          <w:p>
            <w:pPr>
              <w:jc w:val="center"/>
              <w:rPr>
                <w:rFonts w:hint="eastAsia"/>
                <w:sz w:val="21"/>
                <w:szCs w:val="21"/>
              </w:rPr>
            </w:pPr>
            <w:r>
              <w:rPr>
                <w:rFonts w:hint="eastAsia"/>
                <w:sz w:val="21"/>
                <w:szCs w:val="21"/>
              </w:rPr>
              <w:t>项目名称</w:t>
            </w:r>
          </w:p>
        </w:tc>
        <w:tc>
          <w:tcPr>
            <w:tcW w:w="1057" w:type="dxa"/>
            <w:vMerge w:val="restart"/>
            <w:noWrap w:val="0"/>
            <w:vAlign w:val="center"/>
          </w:tcPr>
          <w:p>
            <w:pPr>
              <w:jc w:val="center"/>
              <w:rPr>
                <w:rFonts w:hint="eastAsia"/>
                <w:sz w:val="21"/>
                <w:szCs w:val="21"/>
              </w:rPr>
            </w:pPr>
            <w:r>
              <w:rPr>
                <w:rFonts w:hint="eastAsia"/>
                <w:sz w:val="21"/>
                <w:szCs w:val="21"/>
              </w:rPr>
              <w:t>项目类型</w:t>
            </w:r>
          </w:p>
        </w:tc>
        <w:tc>
          <w:tcPr>
            <w:tcW w:w="3588" w:type="dxa"/>
            <w:vMerge w:val="restart"/>
            <w:noWrap w:val="0"/>
            <w:vAlign w:val="center"/>
          </w:tcPr>
          <w:p>
            <w:pPr>
              <w:jc w:val="center"/>
              <w:rPr>
                <w:rFonts w:hint="eastAsia"/>
                <w:sz w:val="21"/>
                <w:szCs w:val="21"/>
              </w:rPr>
            </w:pPr>
            <w:r>
              <w:rPr>
                <w:rFonts w:hint="eastAsia"/>
                <w:sz w:val="21"/>
                <w:szCs w:val="21"/>
              </w:rPr>
              <w:t>资金用途、使用方向</w:t>
            </w:r>
          </w:p>
        </w:tc>
        <w:tc>
          <w:tcPr>
            <w:tcW w:w="1946" w:type="dxa"/>
            <w:gridSpan w:val="2"/>
            <w:noWrap w:val="0"/>
            <w:vAlign w:val="center"/>
          </w:tcPr>
          <w:p>
            <w:pPr>
              <w:jc w:val="center"/>
              <w:rPr>
                <w:rFonts w:hint="eastAsia"/>
                <w:sz w:val="21"/>
                <w:szCs w:val="21"/>
              </w:rPr>
            </w:pPr>
            <w:r>
              <w:rPr>
                <w:rFonts w:hint="eastAsia"/>
                <w:sz w:val="21"/>
                <w:szCs w:val="21"/>
              </w:rPr>
              <w:t>预算金额</w:t>
            </w:r>
          </w:p>
        </w:tc>
        <w:tc>
          <w:tcPr>
            <w:tcW w:w="1851" w:type="dxa"/>
            <w:gridSpan w:val="2"/>
            <w:noWrap w:val="0"/>
            <w:vAlign w:val="center"/>
          </w:tcPr>
          <w:p>
            <w:pPr>
              <w:jc w:val="center"/>
              <w:rPr>
                <w:rFonts w:hint="eastAsia"/>
                <w:sz w:val="21"/>
                <w:szCs w:val="21"/>
              </w:rPr>
            </w:pPr>
            <w:r>
              <w:rPr>
                <w:rFonts w:hint="eastAsia"/>
                <w:sz w:val="21"/>
                <w:szCs w:val="21"/>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35" w:type="dxa"/>
            <w:vMerge w:val="continue"/>
            <w:noWrap w:val="0"/>
            <w:vAlign w:val="center"/>
          </w:tcPr>
          <w:p>
            <w:pPr>
              <w:jc w:val="center"/>
              <w:rPr>
                <w:rFonts w:hint="eastAsia"/>
                <w:sz w:val="21"/>
                <w:szCs w:val="21"/>
              </w:rPr>
            </w:pPr>
          </w:p>
        </w:tc>
        <w:tc>
          <w:tcPr>
            <w:tcW w:w="1057" w:type="dxa"/>
            <w:vMerge w:val="continue"/>
            <w:noWrap w:val="0"/>
            <w:vAlign w:val="center"/>
          </w:tcPr>
          <w:p>
            <w:pPr>
              <w:jc w:val="center"/>
              <w:rPr>
                <w:rFonts w:hint="eastAsia"/>
                <w:sz w:val="21"/>
                <w:szCs w:val="21"/>
              </w:rPr>
            </w:pPr>
          </w:p>
        </w:tc>
        <w:tc>
          <w:tcPr>
            <w:tcW w:w="3588" w:type="dxa"/>
            <w:vMerge w:val="continue"/>
            <w:noWrap w:val="0"/>
            <w:vAlign w:val="center"/>
          </w:tcPr>
          <w:p>
            <w:pPr>
              <w:jc w:val="center"/>
              <w:rPr>
                <w:rFonts w:hint="eastAsia"/>
                <w:sz w:val="21"/>
                <w:szCs w:val="21"/>
              </w:rPr>
            </w:pPr>
          </w:p>
        </w:tc>
        <w:tc>
          <w:tcPr>
            <w:tcW w:w="943" w:type="dxa"/>
            <w:noWrap w:val="0"/>
            <w:vAlign w:val="center"/>
          </w:tcPr>
          <w:p>
            <w:pPr>
              <w:jc w:val="center"/>
              <w:rPr>
                <w:rFonts w:hint="eastAsia"/>
                <w:sz w:val="21"/>
                <w:szCs w:val="21"/>
              </w:rPr>
            </w:pPr>
            <w:r>
              <w:rPr>
                <w:rFonts w:hint="eastAsia"/>
                <w:sz w:val="21"/>
                <w:szCs w:val="21"/>
              </w:rPr>
              <w:t>指标</w:t>
            </w:r>
          </w:p>
          <w:p>
            <w:pPr>
              <w:jc w:val="center"/>
              <w:rPr>
                <w:rFonts w:hint="eastAsia"/>
                <w:sz w:val="21"/>
                <w:szCs w:val="21"/>
              </w:rPr>
            </w:pPr>
            <w:r>
              <w:rPr>
                <w:rFonts w:hint="eastAsia"/>
                <w:sz w:val="21"/>
                <w:szCs w:val="21"/>
              </w:rPr>
              <w:t>总额</w:t>
            </w:r>
          </w:p>
        </w:tc>
        <w:tc>
          <w:tcPr>
            <w:tcW w:w="1003" w:type="dxa"/>
            <w:noWrap w:val="0"/>
            <w:vAlign w:val="center"/>
          </w:tcPr>
          <w:p>
            <w:pPr>
              <w:jc w:val="center"/>
              <w:rPr>
                <w:rFonts w:hint="eastAsia"/>
                <w:sz w:val="21"/>
                <w:szCs w:val="21"/>
              </w:rPr>
            </w:pPr>
            <w:r>
              <w:rPr>
                <w:rFonts w:hint="eastAsia"/>
                <w:sz w:val="21"/>
                <w:szCs w:val="21"/>
              </w:rPr>
              <w:t>其中：区级资金</w:t>
            </w:r>
          </w:p>
        </w:tc>
        <w:tc>
          <w:tcPr>
            <w:tcW w:w="899" w:type="dxa"/>
            <w:noWrap w:val="0"/>
            <w:vAlign w:val="center"/>
          </w:tcPr>
          <w:p>
            <w:pPr>
              <w:jc w:val="center"/>
              <w:rPr>
                <w:rFonts w:hint="eastAsia"/>
                <w:sz w:val="21"/>
                <w:szCs w:val="21"/>
              </w:rPr>
            </w:pPr>
            <w:r>
              <w:rPr>
                <w:rFonts w:hint="eastAsia"/>
                <w:sz w:val="21"/>
                <w:szCs w:val="21"/>
              </w:rPr>
              <w:t>支出总额</w:t>
            </w:r>
          </w:p>
        </w:tc>
        <w:tc>
          <w:tcPr>
            <w:tcW w:w="952" w:type="dxa"/>
            <w:noWrap w:val="0"/>
            <w:vAlign w:val="center"/>
          </w:tcPr>
          <w:p>
            <w:pPr>
              <w:jc w:val="center"/>
              <w:rPr>
                <w:rFonts w:hint="eastAsia"/>
                <w:sz w:val="21"/>
                <w:szCs w:val="21"/>
              </w:rPr>
            </w:pPr>
            <w:r>
              <w:rPr>
                <w:rFonts w:hint="eastAsia"/>
                <w:sz w:val="21"/>
                <w:szCs w:val="21"/>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35" w:type="dxa"/>
            <w:noWrap w:val="0"/>
            <w:vAlign w:val="center"/>
          </w:tcPr>
          <w:p>
            <w:pPr>
              <w:jc w:val="center"/>
              <w:rPr>
                <w:sz w:val="21"/>
                <w:szCs w:val="21"/>
              </w:rPr>
            </w:pPr>
            <w:r>
              <w:rPr>
                <w:rFonts w:hint="eastAsia"/>
                <w:sz w:val="21"/>
                <w:szCs w:val="21"/>
              </w:rPr>
              <w:t>公共服务</w:t>
            </w:r>
          </w:p>
        </w:tc>
        <w:tc>
          <w:tcPr>
            <w:tcW w:w="1057" w:type="dxa"/>
            <w:noWrap w:val="0"/>
            <w:vAlign w:val="center"/>
          </w:tcPr>
          <w:p>
            <w:pPr>
              <w:rPr>
                <w:rFonts w:hint="eastAsia"/>
                <w:sz w:val="21"/>
                <w:szCs w:val="21"/>
              </w:rPr>
            </w:pPr>
            <w:r>
              <w:rPr>
                <w:rFonts w:hint="eastAsia"/>
                <w:sz w:val="21"/>
                <w:szCs w:val="21"/>
              </w:rPr>
              <w:t>经常性</w:t>
            </w:r>
          </w:p>
        </w:tc>
        <w:tc>
          <w:tcPr>
            <w:tcW w:w="3588" w:type="dxa"/>
            <w:noWrap w:val="0"/>
            <w:vAlign w:val="center"/>
          </w:tcPr>
          <w:p>
            <w:pPr>
              <w:rPr>
                <w:sz w:val="21"/>
                <w:szCs w:val="21"/>
              </w:rPr>
            </w:pPr>
            <w:r>
              <w:rPr>
                <w:rFonts w:hint="eastAsia"/>
                <w:sz w:val="21"/>
                <w:szCs w:val="21"/>
              </w:rPr>
              <w:t>社会保障、卫计工作等工作经费</w:t>
            </w:r>
          </w:p>
        </w:tc>
        <w:tc>
          <w:tcPr>
            <w:tcW w:w="943" w:type="dxa"/>
            <w:noWrap w:val="0"/>
            <w:vAlign w:val="center"/>
          </w:tcPr>
          <w:p>
            <w:pPr>
              <w:rPr>
                <w:sz w:val="21"/>
                <w:szCs w:val="21"/>
              </w:rPr>
            </w:pPr>
            <w:r>
              <w:rPr>
                <w:rFonts w:hint="eastAsia"/>
                <w:sz w:val="21"/>
                <w:szCs w:val="21"/>
              </w:rPr>
              <w:t>213.28</w:t>
            </w:r>
          </w:p>
        </w:tc>
        <w:tc>
          <w:tcPr>
            <w:tcW w:w="1003" w:type="dxa"/>
            <w:noWrap w:val="0"/>
            <w:vAlign w:val="center"/>
          </w:tcPr>
          <w:p>
            <w:pPr>
              <w:rPr>
                <w:rFonts w:hint="eastAsia"/>
                <w:sz w:val="21"/>
                <w:szCs w:val="21"/>
              </w:rPr>
            </w:pPr>
            <w:r>
              <w:rPr>
                <w:rFonts w:hint="eastAsia"/>
                <w:sz w:val="21"/>
                <w:szCs w:val="21"/>
              </w:rPr>
              <w:t>213.28</w:t>
            </w:r>
          </w:p>
        </w:tc>
        <w:tc>
          <w:tcPr>
            <w:tcW w:w="899" w:type="dxa"/>
            <w:noWrap w:val="0"/>
            <w:vAlign w:val="center"/>
          </w:tcPr>
          <w:p>
            <w:pPr>
              <w:rPr>
                <w:sz w:val="21"/>
                <w:szCs w:val="21"/>
              </w:rPr>
            </w:pPr>
            <w:r>
              <w:rPr>
                <w:rFonts w:hint="eastAsia"/>
                <w:sz w:val="21"/>
                <w:szCs w:val="21"/>
              </w:rPr>
              <w:t>703.45</w:t>
            </w:r>
          </w:p>
        </w:tc>
        <w:tc>
          <w:tcPr>
            <w:tcW w:w="952" w:type="dxa"/>
            <w:noWrap w:val="0"/>
            <w:vAlign w:val="center"/>
          </w:tcPr>
          <w:p>
            <w:pPr>
              <w:rPr>
                <w:rFonts w:hint="eastAsia"/>
                <w:sz w:val="21"/>
                <w:szCs w:val="21"/>
              </w:rPr>
            </w:pPr>
            <w:r>
              <w:rPr>
                <w:rFonts w:hint="eastAsia"/>
                <w:sz w:val="21"/>
                <w:szCs w:val="21"/>
              </w:rPr>
              <w:t>703.45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135" w:type="dxa"/>
            <w:noWrap w:val="0"/>
            <w:vAlign w:val="center"/>
          </w:tcPr>
          <w:p>
            <w:pPr>
              <w:jc w:val="center"/>
              <w:rPr>
                <w:rFonts w:hint="eastAsia"/>
                <w:sz w:val="21"/>
                <w:szCs w:val="21"/>
              </w:rPr>
            </w:pPr>
            <w:r>
              <w:rPr>
                <w:rFonts w:hint="eastAsia"/>
                <w:sz w:val="21"/>
                <w:szCs w:val="21"/>
              </w:rPr>
              <w:t>社会管理</w:t>
            </w:r>
          </w:p>
        </w:tc>
        <w:tc>
          <w:tcPr>
            <w:tcW w:w="1057" w:type="dxa"/>
            <w:noWrap w:val="0"/>
            <w:vAlign w:val="center"/>
          </w:tcPr>
          <w:p>
            <w:pPr>
              <w:rPr>
                <w:rFonts w:hint="eastAsia"/>
                <w:sz w:val="21"/>
                <w:szCs w:val="21"/>
              </w:rPr>
            </w:pPr>
            <w:r>
              <w:rPr>
                <w:rFonts w:hint="eastAsia"/>
                <w:sz w:val="21"/>
                <w:szCs w:val="21"/>
              </w:rPr>
              <w:t>经常性</w:t>
            </w:r>
          </w:p>
        </w:tc>
        <w:tc>
          <w:tcPr>
            <w:tcW w:w="3588" w:type="dxa"/>
            <w:noWrap w:val="0"/>
            <w:vAlign w:val="center"/>
          </w:tcPr>
          <w:p>
            <w:pPr>
              <w:rPr>
                <w:sz w:val="21"/>
                <w:szCs w:val="21"/>
              </w:rPr>
            </w:pPr>
            <w:r>
              <w:rPr>
                <w:rFonts w:hint="eastAsia"/>
                <w:sz w:val="21"/>
                <w:szCs w:val="21"/>
              </w:rPr>
              <w:t>党建、意识形态、思想宣传、维稳、安全生产、戒毒、普法等工作经费</w:t>
            </w:r>
          </w:p>
        </w:tc>
        <w:tc>
          <w:tcPr>
            <w:tcW w:w="943" w:type="dxa"/>
            <w:noWrap w:val="0"/>
            <w:vAlign w:val="center"/>
          </w:tcPr>
          <w:p>
            <w:pPr>
              <w:rPr>
                <w:sz w:val="21"/>
                <w:szCs w:val="21"/>
              </w:rPr>
            </w:pPr>
            <w:r>
              <w:rPr>
                <w:rFonts w:hint="eastAsia"/>
                <w:sz w:val="21"/>
                <w:szCs w:val="21"/>
              </w:rPr>
              <w:t>441.17</w:t>
            </w:r>
          </w:p>
        </w:tc>
        <w:tc>
          <w:tcPr>
            <w:tcW w:w="1003" w:type="dxa"/>
            <w:noWrap w:val="0"/>
            <w:vAlign w:val="center"/>
          </w:tcPr>
          <w:p>
            <w:pPr>
              <w:rPr>
                <w:rFonts w:hint="eastAsia"/>
                <w:sz w:val="21"/>
                <w:szCs w:val="21"/>
              </w:rPr>
            </w:pPr>
            <w:r>
              <w:rPr>
                <w:rFonts w:hint="eastAsia"/>
                <w:sz w:val="21"/>
                <w:szCs w:val="21"/>
              </w:rPr>
              <w:t>441.17</w:t>
            </w:r>
          </w:p>
        </w:tc>
        <w:tc>
          <w:tcPr>
            <w:tcW w:w="899" w:type="dxa"/>
            <w:noWrap w:val="0"/>
            <w:vAlign w:val="center"/>
          </w:tcPr>
          <w:p>
            <w:pPr>
              <w:rPr>
                <w:sz w:val="21"/>
                <w:szCs w:val="21"/>
              </w:rPr>
            </w:pPr>
            <w:r>
              <w:rPr>
                <w:rFonts w:hint="eastAsia"/>
                <w:sz w:val="21"/>
                <w:szCs w:val="21"/>
              </w:rPr>
              <w:t>318.72</w:t>
            </w:r>
          </w:p>
        </w:tc>
        <w:tc>
          <w:tcPr>
            <w:tcW w:w="952" w:type="dxa"/>
            <w:noWrap w:val="0"/>
            <w:vAlign w:val="center"/>
          </w:tcPr>
          <w:p>
            <w:pPr>
              <w:rPr>
                <w:rFonts w:hint="eastAsia"/>
                <w:sz w:val="21"/>
                <w:szCs w:val="21"/>
              </w:rPr>
            </w:pPr>
            <w:r>
              <w:rPr>
                <w:rFonts w:hint="eastAsia"/>
                <w:sz w:val="21"/>
                <w:szCs w:val="21"/>
              </w:rPr>
              <w:t>318.72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780" w:type="dxa"/>
            <w:gridSpan w:val="3"/>
            <w:noWrap w:val="0"/>
            <w:vAlign w:val="center"/>
          </w:tcPr>
          <w:p>
            <w:pPr>
              <w:tabs>
                <w:tab w:val="left" w:pos="2243"/>
              </w:tabs>
              <w:rPr>
                <w:rFonts w:hint="eastAsia"/>
                <w:sz w:val="21"/>
                <w:szCs w:val="21"/>
              </w:rPr>
            </w:pPr>
            <w:r>
              <w:rPr>
                <w:rFonts w:hint="eastAsia"/>
                <w:sz w:val="21"/>
                <w:szCs w:val="21"/>
              </w:rPr>
              <w:tab/>
            </w:r>
            <w:r>
              <w:rPr>
                <w:rFonts w:hint="eastAsia"/>
                <w:sz w:val="21"/>
                <w:szCs w:val="21"/>
              </w:rPr>
              <w:t>合计</w:t>
            </w:r>
          </w:p>
        </w:tc>
        <w:tc>
          <w:tcPr>
            <w:tcW w:w="943" w:type="dxa"/>
            <w:noWrap w:val="0"/>
            <w:vAlign w:val="center"/>
          </w:tcPr>
          <w:p>
            <w:pPr>
              <w:rPr>
                <w:sz w:val="21"/>
                <w:szCs w:val="21"/>
              </w:rPr>
            </w:pPr>
            <w:r>
              <w:rPr>
                <w:rFonts w:hint="eastAsia"/>
                <w:sz w:val="21"/>
                <w:szCs w:val="21"/>
              </w:rPr>
              <w:fldChar w:fldCharType="begin"/>
            </w:r>
            <w:r>
              <w:rPr>
                <w:rFonts w:hint="eastAsia"/>
                <w:sz w:val="21"/>
                <w:szCs w:val="21"/>
              </w:rPr>
              <w:instrText xml:space="preserve"> = sum(D3:D4) \* MERGEFORMAT </w:instrText>
            </w:r>
            <w:r>
              <w:rPr>
                <w:rFonts w:hint="eastAsia"/>
                <w:sz w:val="21"/>
                <w:szCs w:val="21"/>
              </w:rPr>
              <w:fldChar w:fldCharType="separate"/>
            </w:r>
            <w:r>
              <w:rPr>
                <w:rFonts w:hint="eastAsia"/>
                <w:sz w:val="21"/>
                <w:szCs w:val="21"/>
              </w:rPr>
              <w:t>654.45</w:t>
            </w:r>
            <w:r>
              <w:rPr>
                <w:rFonts w:hint="eastAsia"/>
                <w:sz w:val="21"/>
                <w:szCs w:val="21"/>
              </w:rPr>
              <w:fldChar w:fldCharType="end"/>
            </w:r>
          </w:p>
        </w:tc>
        <w:tc>
          <w:tcPr>
            <w:tcW w:w="1003" w:type="dxa"/>
            <w:noWrap w:val="0"/>
            <w:vAlign w:val="center"/>
          </w:tcPr>
          <w:p>
            <w:pPr>
              <w:rPr>
                <w:sz w:val="21"/>
                <w:szCs w:val="21"/>
              </w:rPr>
            </w:pPr>
            <w:r>
              <w:rPr>
                <w:rFonts w:hint="eastAsia"/>
                <w:sz w:val="21"/>
                <w:szCs w:val="21"/>
              </w:rPr>
              <w:fldChar w:fldCharType="begin"/>
            </w:r>
            <w:r>
              <w:rPr>
                <w:rFonts w:hint="eastAsia"/>
                <w:sz w:val="21"/>
                <w:szCs w:val="21"/>
              </w:rPr>
              <w:instrText xml:space="preserve"> = sum(E3:E4) \* MERGEFORMAT </w:instrText>
            </w:r>
            <w:r>
              <w:rPr>
                <w:rFonts w:hint="eastAsia"/>
                <w:sz w:val="21"/>
                <w:szCs w:val="21"/>
              </w:rPr>
              <w:fldChar w:fldCharType="separate"/>
            </w:r>
            <w:r>
              <w:rPr>
                <w:rFonts w:hint="eastAsia"/>
                <w:sz w:val="21"/>
                <w:szCs w:val="21"/>
              </w:rPr>
              <w:t>654.45</w:t>
            </w:r>
            <w:r>
              <w:rPr>
                <w:rFonts w:hint="eastAsia"/>
                <w:sz w:val="21"/>
                <w:szCs w:val="21"/>
              </w:rPr>
              <w:fldChar w:fldCharType="end"/>
            </w:r>
          </w:p>
        </w:tc>
        <w:tc>
          <w:tcPr>
            <w:tcW w:w="899" w:type="dxa"/>
            <w:noWrap w:val="0"/>
            <w:vAlign w:val="center"/>
          </w:tcPr>
          <w:p>
            <w:pPr>
              <w:rPr>
                <w:sz w:val="21"/>
                <w:szCs w:val="21"/>
              </w:rPr>
            </w:pPr>
            <w:r>
              <w:rPr>
                <w:rFonts w:hint="eastAsia"/>
                <w:sz w:val="21"/>
                <w:szCs w:val="21"/>
              </w:rPr>
              <w:fldChar w:fldCharType="begin"/>
            </w:r>
            <w:r>
              <w:rPr>
                <w:rFonts w:hint="eastAsia"/>
                <w:sz w:val="21"/>
                <w:szCs w:val="21"/>
              </w:rPr>
              <w:instrText xml:space="preserve"> = sum(F3:F4) \* MERGEFORMAT </w:instrText>
            </w:r>
            <w:r>
              <w:rPr>
                <w:rFonts w:hint="eastAsia"/>
                <w:sz w:val="21"/>
                <w:szCs w:val="21"/>
              </w:rPr>
              <w:fldChar w:fldCharType="separate"/>
            </w:r>
            <w:r>
              <w:rPr>
                <w:rFonts w:hint="eastAsia"/>
                <w:sz w:val="21"/>
                <w:szCs w:val="21"/>
              </w:rPr>
              <w:t>1022.17</w:t>
            </w:r>
            <w:r>
              <w:rPr>
                <w:rFonts w:hint="eastAsia"/>
                <w:sz w:val="21"/>
                <w:szCs w:val="21"/>
              </w:rPr>
              <w:fldChar w:fldCharType="end"/>
            </w:r>
          </w:p>
        </w:tc>
        <w:tc>
          <w:tcPr>
            <w:tcW w:w="952" w:type="dxa"/>
            <w:noWrap w:val="0"/>
            <w:vAlign w:val="center"/>
          </w:tcPr>
          <w:p>
            <w:pPr>
              <w:rPr>
                <w:sz w:val="21"/>
                <w:szCs w:val="21"/>
              </w:rPr>
            </w:pPr>
            <w:r>
              <w:rPr>
                <w:rFonts w:hint="eastAsia"/>
                <w:sz w:val="21"/>
                <w:szCs w:val="21"/>
              </w:rPr>
              <w:fldChar w:fldCharType="begin"/>
            </w:r>
            <w:r>
              <w:rPr>
                <w:rFonts w:hint="eastAsia"/>
                <w:sz w:val="21"/>
                <w:szCs w:val="21"/>
              </w:rPr>
              <w:instrText xml:space="preserve"> = sum(G3:G4) \* MERGEFORMAT </w:instrText>
            </w:r>
            <w:r>
              <w:rPr>
                <w:rFonts w:hint="eastAsia"/>
                <w:sz w:val="21"/>
                <w:szCs w:val="21"/>
              </w:rPr>
              <w:fldChar w:fldCharType="separate"/>
            </w:r>
            <w:r>
              <w:rPr>
                <w:rFonts w:hint="eastAsia"/>
                <w:sz w:val="21"/>
                <w:szCs w:val="21"/>
              </w:rPr>
              <w:t>1022.17</w:t>
            </w:r>
            <w:r>
              <w:rPr>
                <w:rFonts w:hint="eastAsia"/>
                <w:sz w:val="21"/>
                <w:szCs w:val="21"/>
              </w:rPr>
              <w:fldChar w:fldCharType="end"/>
            </w:r>
          </w:p>
        </w:tc>
      </w:tr>
    </w:tbl>
    <w:p>
      <w:pPr>
        <w:numPr>
          <w:numId w:val="0"/>
        </w:numPr>
        <w:spacing w:line="560" w:lineRule="exact"/>
        <w:rPr>
          <w:rFonts w:hint="eastAsia" w:eastAsia="黑体"/>
          <w:sz w:val="32"/>
          <w:szCs w:val="32"/>
          <w:lang w:eastAsia="zh-CN"/>
        </w:rPr>
      </w:pPr>
    </w:p>
    <w:p>
      <w:pPr>
        <w:numPr>
          <w:ilvl w:val="0"/>
          <w:numId w:val="1"/>
        </w:numPr>
        <w:spacing w:line="560" w:lineRule="exact"/>
        <w:ind w:left="-420" w:leftChars="0" w:firstLine="420" w:firstLineChars="0"/>
      </w:pPr>
      <w:r>
        <w:rPr>
          <w:rFonts w:hint="eastAsia" w:eastAsia="黑体"/>
          <w:sz w:val="32"/>
          <w:szCs w:val="32"/>
          <w:lang w:eastAsia="zh-CN"/>
        </w:rPr>
        <w:t>重点</w:t>
      </w:r>
      <w:r>
        <w:rPr>
          <w:rFonts w:hint="eastAsia" w:eastAsia="黑体"/>
          <w:sz w:val="32"/>
          <w:szCs w:val="32"/>
        </w:rPr>
        <w:t>项目</w:t>
      </w:r>
      <w:r>
        <w:rPr>
          <w:rFonts w:eastAsia="黑体"/>
          <w:sz w:val="32"/>
          <w:szCs w:val="32"/>
        </w:rPr>
        <w:t>绩效</w:t>
      </w:r>
      <w:r>
        <w:rPr>
          <w:rFonts w:hint="eastAsia" w:eastAsia="黑体"/>
          <w:sz w:val="32"/>
          <w:szCs w:val="32"/>
          <w:lang w:eastAsia="zh-CN"/>
        </w:rPr>
        <w:t>完成情况</w:t>
      </w:r>
    </w:p>
    <w:p>
      <w:pPr>
        <w:numPr>
          <w:ilvl w:val="0"/>
          <w:numId w:val="2"/>
        </w:numPr>
        <w:spacing w:line="540" w:lineRule="exact"/>
        <w:ind w:left="676" w:leftChars="0" w:hanging="425" w:firstLineChars="0"/>
        <w:rPr>
          <w:rFonts w:hint="eastAsia" w:ascii="仿宋_GB2312" w:hAnsi="仿宋" w:cs="仿宋"/>
          <w:kern w:val="0"/>
          <w:sz w:val="32"/>
          <w:szCs w:val="32"/>
        </w:rPr>
      </w:pPr>
      <w:r>
        <w:rPr>
          <w:rFonts w:hint="eastAsia" w:ascii="仿宋_GB2312" w:hAnsi="仿宋" w:cs="仿宋"/>
          <w:b/>
          <w:bCs/>
          <w:sz w:val="32"/>
          <w:szCs w:val="32"/>
        </w:rPr>
        <w:t>社会管理</w:t>
      </w:r>
      <w:r>
        <w:rPr>
          <w:rFonts w:hint="eastAsia" w:ascii="仿宋_GB2312" w:hAnsi="仿宋" w:cs="仿宋"/>
          <w:b/>
          <w:bCs/>
          <w:sz w:val="32"/>
          <w:szCs w:val="32"/>
          <w:lang w:eastAsia="zh-CN"/>
        </w:rPr>
        <w:t>项目</w:t>
      </w:r>
      <w:r>
        <w:rPr>
          <w:rFonts w:hint="eastAsia" w:ascii="仿宋_GB2312" w:hAnsi="仿宋" w:cs="仿宋"/>
          <w:sz w:val="32"/>
          <w:szCs w:val="32"/>
        </w:rPr>
        <w:t>：聚焦维护人民安居，稳定和谐局面得到巩固。综治维稳举措有力。不断深化“平安开福”建设，加大扫黑除恶、禁毒宣传力度，发放宣传资料3.2万余册。开展打击非法传销行动13次，</w:t>
      </w:r>
      <w:r>
        <w:rPr>
          <w:rFonts w:hint="eastAsia" w:ascii="仿宋_GB2312" w:hAnsi="仿宋" w:cs="仿宋"/>
          <w:color w:val="000000"/>
          <w:sz w:val="32"/>
          <w:szCs w:val="32"/>
        </w:rPr>
        <w:t>查封涉传窝点50个。</w:t>
      </w:r>
      <w:r>
        <w:rPr>
          <w:rFonts w:hint="eastAsia" w:ascii="仿宋_GB2312" w:hAnsi="仿宋" w:cs="仿宋"/>
          <w:sz w:val="32"/>
          <w:szCs w:val="32"/>
        </w:rPr>
        <w:t>对18名社区矫正对象,56名在册吸毒对象，36名刑满释放人员采取技术手段动态管控。矛盾化解卓有成效。调解矛盾纠纷51起，涉及金额359.18万元，其中调解成功马栏山人才公寓项目部农民工工资纠纷，涉及金额200万元。成功为1805名（506户）60号令拆迁安置群众发放第二批生产发展用地收益资金。全年无进京非访人员。聚焦加强自身建设，风清气正氛围不断浓厚。夯实党建基础。严格按要求履行发展党员程序，共有9名预备党员转为正式党员。新建4个小区党支部，洪山建设集团有限公司党支部被评为长沙市两新组织“两争一创”先进典型。探索试行“五色聚星”党员分类管理工作，利用区域化党建引领推进基层治理创新，有效解决社区热点难点事务。选优配强基层班子，做好社区换届选举，准备实行社区党组织书记“一肩挑”。持续正风肃纪，以省委第六巡视组反馈意见整改工作为契机，立足街道实际，扎实做好巡视“后半篇文章”。加强初信初</w:t>
      </w:r>
      <w:r>
        <w:rPr>
          <w:rFonts w:hint="eastAsia" w:ascii="仿宋_GB2312" w:hAnsi="仿宋" w:cs="仿宋"/>
          <w:kern w:val="0"/>
          <w:sz w:val="32"/>
          <w:szCs w:val="32"/>
        </w:rPr>
        <w:t>访办理力度，受理信访件3件，办结2件。精准研判处置问题线索，处置问题线索8件，立案3件。狠抓队伍建设及作风纪律建设，</w:t>
      </w:r>
      <w:r>
        <w:rPr>
          <w:rFonts w:hint="eastAsia" w:ascii="仿宋_GB2312" w:hAnsi="仿宋" w:cs="仿宋"/>
          <w:sz w:val="32"/>
          <w:szCs w:val="32"/>
        </w:rPr>
        <w:t>深入开展监督检查10余次，</w:t>
      </w:r>
      <w:r>
        <w:rPr>
          <w:rFonts w:hint="eastAsia" w:ascii="仿宋_GB2312" w:hAnsi="仿宋" w:cs="仿宋"/>
          <w:kern w:val="0"/>
          <w:sz w:val="32"/>
          <w:szCs w:val="32"/>
        </w:rPr>
        <w:t>给予党纪处分2人。守好意识形态阵地，强化理论武装，“学习强国”覆盖率173%，在全区各街道排名第一。加强舆情管理和宣传报道，累计舆情线索报送四千余条，8次上榜全市舆情信息报送前十名，上版《湖南日报》、湖南经视、《长沙晚报》等媒体190余次，其中省级媒体上稿49篇，主流思想舆论不断巩固壮大。同时，基层武装阵地建设等工作得到加强，退役军人各项政策有效落实，民族宗教、机关后勤等工作取得新成效。</w:t>
      </w:r>
    </w:p>
    <w:p>
      <w:pPr>
        <w:numPr>
          <w:ilvl w:val="0"/>
          <w:numId w:val="2"/>
        </w:numPr>
        <w:spacing w:line="540" w:lineRule="exact"/>
        <w:ind w:left="676" w:leftChars="0" w:hanging="425" w:firstLineChars="0"/>
        <w:rPr>
          <w:rFonts w:hint="eastAsia"/>
          <w:sz w:val="32"/>
          <w:szCs w:val="32"/>
        </w:rPr>
      </w:pPr>
      <w:r>
        <w:rPr>
          <w:rFonts w:hint="eastAsia" w:ascii="仿宋_GB2312" w:hAnsi="仿宋" w:cs="仿宋"/>
          <w:b/>
          <w:bCs/>
          <w:kern w:val="0"/>
          <w:sz w:val="32"/>
          <w:szCs w:val="32"/>
        </w:rPr>
        <w:t>公共服务</w:t>
      </w:r>
      <w:r>
        <w:rPr>
          <w:rFonts w:hint="eastAsia" w:ascii="仿宋_GB2312" w:hAnsi="仿宋" w:cs="仿宋"/>
          <w:b/>
          <w:bCs/>
          <w:kern w:val="0"/>
          <w:sz w:val="32"/>
          <w:szCs w:val="32"/>
          <w:lang w:eastAsia="zh-CN"/>
        </w:rPr>
        <w:t>项目</w:t>
      </w:r>
      <w:r>
        <w:rPr>
          <w:rFonts w:hint="eastAsia" w:ascii="仿宋_GB2312" w:hAnsi="仿宋" w:cs="仿宋"/>
          <w:kern w:val="0"/>
          <w:sz w:val="32"/>
          <w:szCs w:val="32"/>
        </w:rPr>
        <w:t>：</w:t>
      </w:r>
      <w:r>
        <w:rPr>
          <w:rFonts w:hint="eastAsia" w:ascii="仿宋_GB2312" w:hAnsi="仿宋" w:cs="仿宋"/>
          <w:sz w:val="32"/>
          <w:szCs w:val="32"/>
        </w:rPr>
        <w:t>疫情防控举措得力，全力保障人民生命安全。</w:t>
      </w:r>
      <w:r>
        <w:rPr>
          <w:rFonts w:hint="eastAsia" w:ascii="仿宋_GB2312" w:hAnsi="仿宋" w:cs="仿宋"/>
          <w:color w:val="000000"/>
          <w:sz w:val="32"/>
          <w:szCs w:val="32"/>
        </w:rPr>
        <w:t>做细做实摸排工作。</w:t>
      </w:r>
      <w:r>
        <w:rPr>
          <w:rFonts w:hint="eastAsia" w:ascii="仿宋_GB2312" w:hAnsi="仿宋" w:cs="仿宋"/>
          <w:sz w:val="32"/>
          <w:szCs w:val="32"/>
        </w:rPr>
        <w:t>按辖区27个网格深入开展摸排工作，建成“五个一”摸排队伍，即1位医护人员、1名社区干部、1台车、1支体温枪、1本台账。截至目前，累计摸排29318户，核实数据4976条，纳入“四包一”管理1295人，核酸检测700人。</w:t>
      </w:r>
      <w:r>
        <w:rPr>
          <w:rFonts w:hint="eastAsia" w:ascii="仿宋_GB2312" w:hAnsi="仿宋" w:cs="仿宋"/>
          <w:color w:val="000000"/>
          <w:sz w:val="32"/>
          <w:szCs w:val="32"/>
        </w:rPr>
        <w:t>构筑群防群控防线。</w:t>
      </w:r>
      <w:r>
        <w:rPr>
          <w:rFonts w:hint="eastAsia" w:ascii="仿宋_GB2312" w:hAnsi="仿宋" w:cs="仿宋"/>
          <w:sz w:val="32"/>
          <w:szCs w:val="32"/>
        </w:rPr>
        <w:t>招募一支由物业人员、在职党员、居民小组长等群体组成的540余人的志愿队伍，广泛参与到小区宣传引导、岗亭值守、物资配送等防疫工作中，发挥社会监督作用，随时向社区报备流动人员返长动态。</w:t>
      </w:r>
      <w:r>
        <w:rPr>
          <w:rFonts w:hint="eastAsia" w:ascii="仿宋_GB2312" w:hAnsi="仿宋" w:cs="仿宋"/>
          <w:color w:val="000000"/>
          <w:sz w:val="32"/>
          <w:szCs w:val="32"/>
        </w:rPr>
        <w:t>全面动员基层党组织履责。</w:t>
      </w:r>
      <w:r>
        <w:rPr>
          <w:rFonts w:hint="eastAsia" w:ascii="仿宋_GB2312" w:hAnsi="仿宋" w:cs="仿宋"/>
          <w:sz w:val="32"/>
          <w:szCs w:val="32"/>
        </w:rPr>
        <w:t>湖南洪山建设集团有限公司党支部在已投入大量人力物力参与疫情防控的同时，组织党员干部、全体员工及家庭积极捐款、奉献爱心，累计捐款100万元。</w:t>
      </w:r>
      <w:r>
        <w:rPr>
          <w:rFonts w:hint="eastAsia" w:ascii="仿宋_GB2312" w:hAnsi="仿宋" w:cs="仿宋"/>
          <w:color w:val="000000"/>
          <w:sz w:val="32"/>
          <w:szCs w:val="32"/>
        </w:rPr>
        <w:t>帮助企业实现复工复产。</w:t>
      </w:r>
      <w:r>
        <w:rPr>
          <w:rFonts w:hint="eastAsia" w:ascii="仿宋_GB2312" w:hAnsi="仿宋" w:cs="仿宋"/>
          <w:sz w:val="32"/>
          <w:szCs w:val="32"/>
        </w:rPr>
        <w:t>派出5个复工服务小组，深入走访辖区“四上企业”、重点项目，指导企业细化防控举措，按照“一企一档”的标准进行全面摸排，主动收集企业员工返岗难、运营成本高等各类问题并做好协调处理，使企业在“安全+安心”中实现复工复产。</w:t>
      </w:r>
      <w:r>
        <w:rPr>
          <w:rFonts w:hint="eastAsia" w:ascii="仿宋_GB2312" w:hAnsi="楷体_GB2312" w:cs="楷体_GB2312"/>
          <w:sz w:val="32"/>
          <w:szCs w:val="32"/>
        </w:rPr>
        <w:t>聚焦群众美好期待，百姓幸福指数持续提升。</w:t>
      </w:r>
      <w:r>
        <w:rPr>
          <w:rFonts w:hint="eastAsia" w:ascii="仿宋_GB2312" w:hAnsi="仿宋_GB2312" w:cs="仿宋_GB2312"/>
          <w:sz w:val="32"/>
          <w:szCs w:val="32"/>
        </w:rPr>
        <w:t>稳岗就业成效明显，全年共发布82个有效就业岗位信息，举办4期创业培训、</w:t>
      </w:r>
      <w:r>
        <w:rPr>
          <w:rFonts w:hint="eastAsia" w:ascii="仿宋_GB2312"/>
          <w:sz w:val="32"/>
          <w:szCs w:val="32"/>
        </w:rPr>
        <w:t>9期职业技能培训</w:t>
      </w:r>
      <w:r>
        <w:rPr>
          <w:rFonts w:hint="eastAsia" w:ascii="仿宋_GB2312" w:hAnsi="仿宋_GB2312" w:cs="仿宋_GB2312"/>
          <w:sz w:val="32"/>
          <w:szCs w:val="32"/>
        </w:rPr>
        <w:t>，新增就业人口375人，失业人员再就业151人。社会保障力度不减，</w:t>
      </w:r>
      <w:r>
        <w:rPr>
          <w:rFonts w:hint="eastAsia" w:ascii="仿宋_GB2312"/>
          <w:sz w:val="32"/>
          <w:szCs w:val="32"/>
        </w:rPr>
        <w:t>继续做好全民参保登记工作，城乡居民养老保险累计参保880人，医疗保险累计参保6128人，协助1326名退休人员进行一体机企业养老认证、30人进行建模。</w:t>
      </w:r>
      <w:r>
        <w:rPr>
          <w:rFonts w:hint="eastAsia" w:ascii="仿宋_GB2312" w:hAnsi="仿宋_GB2312" w:cs="仿宋_GB2312"/>
          <w:sz w:val="32"/>
          <w:szCs w:val="32"/>
        </w:rPr>
        <w:t>精准识别开展城市特殊困难群体帮扶行动10批次，帮扶对象131人，累计帮扶金额约25万元。民生实事全面落实，贯彻落实生育服务制度，完成妇女“两癌”筛查68人，组织开展“爱心相伴 救在身边”红十字博爱周应急救护知识学习等红十字会专项活动，获评“湖南省计划生育基层群众自治先进单位”“区红十字会无偿献血工作先进单位”。社区建设有序推进，依法依规指导藏珑小区、圣爵菲斯小区业委会成立，洪雅社区申报培育社区社会组织、优化网格化管理二个创新培育项目，社区治理创新培育工作得到升级。</w:t>
      </w:r>
    </w:p>
    <w:p>
      <w:pPr>
        <w:numPr>
          <w:numId w:val="0"/>
        </w:numPr>
        <w:spacing w:line="540" w:lineRule="exact"/>
        <w:rPr>
          <w:rFonts w:hint="default" w:ascii="仿宋_GB2312" w:hAnsi="仿宋_GB2312" w:cs="仿宋_GB2312"/>
          <w:sz w:val="32"/>
          <w:szCs w:val="32"/>
          <w:lang w:val="en-US"/>
        </w:rPr>
      </w:pPr>
      <w:r>
        <w:rPr>
          <w:rFonts w:hint="eastAsia" w:ascii="仿宋_GB2312" w:hAnsi="仿宋_GB2312" w:cs="仿宋_GB2312"/>
          <w:sz w:val="32"/>
          <w:szCs w:val="32"/>
          <w:lang w:val="en-US" w:eastAsia="zh-CN"/>
        </w:rPr>
        <w:t xml:space="preserve">            </w:t>
      </w:r>
    </w:p>
    <w:p>
      <w:pPr>
        <w:numPr>
          <w:ilvl w:val="0"/>
          <w:numId w:val="1"/>
        </w:numPr>
        <w:spacing w:line="560" w:lineRule="exact"/>
        <w:ind w:left="-420" w:leftChars="0" w:firstLine="420" w:firstLineChars="0"/>
        <w:rPr>
          <w:rFonts w:eastAsia="黑体"/>
          <w:sz w:val="32"/>
          <w:szCs w:val="32"/>
        </w:rPr>
      </w:pPr>
      <w:r>
        <w:rPr>
          <w:rFonts w:eastAsia="黑体"/>
          <w:sz w:val="32"/>
          <w:szCs w:val="32"/>
        </w:rPr>
        <w:t>存在的问题</w:t>
      </w:r>
    </w:p>
    <w:p>
      <w:pPr>
        <w:spacing w:line="560" w:lineRule="exact"/>
        <w:ind w:firstLine="640" w:firstLineChars="200"/>
        <w:rPr>
          <w:rFonts w:hint="eastAsia"/>
          <w:szCs w:val="28"/>
        </w:rPr>
      </w:pPr>
      <w:r>
        <w:rPr>
          <w:rFonts w:hint="eastAsia"/>
          <w:sz w:val="32"/>
          <w:szCs w:val="32"/>
        </w:rPr>
        <w:t>资金分配和安排的科学性</w:t>
      </w:r>
      <w:bookmarkStart w:id="0" w:name="_GoBack"/>
      <w:bookmarkEnd w:id="0"/>
      <w:r>
        <w:rPr>
          <w:rFonts w:hint="eastAsia"/>
          <w:sz w:val="32"/>
          <w:szCs w:val="32"/>
        </w:rPr>
        <w:t>有待加强；资金使用进度应定期考评，项目管理水平需进一步提高。</w:t>
      </w:r>
    </w:p>
    <w:p>
      <w:pPr>
        <w:adjustRightInd w:val="0"/>
        <w:snapToGrid w:val="0"/>
        <w:spacing w:line="560" w:lineRule="exact"/>
        <w:rPr>
          <w:rFonts w:hint="eastAsia" w:ascii="仿宋_GB2312"/>
          <w:szCs w:val="28"/>
        </w:rPr>
      </w:pPr>
    </w:p>
    <w:sectPr>
      <w:headerReference r:id="rId3" w:type="default"/>
      <w:footerReference r:id="rId4" w:type="default"/>
      <w:footerReference r:id="rId5" w:type="even"/>
      <w:pgSz w:w="11907" w:h="16840"/>
      <w:pgMar w:top="2154" w:right="1474" w:bottom="2041" w:left="1587" w:header="851" w:footer="992" w:gutter="0"/>
      <w:cols w:space="720" w:num="1"/>
      <w:docGrid w:type="lines"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pict>
        <v:shape id="_x0000_s3076" o:spid="_x0000_s307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Style w:val="13"/>
                    <w:sz w:val="28"/>
                    <w:szCs w:val="28"/>
                  </w:rPr>
                </w:pPr>
                <w:r>
                  <w:rPr>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22</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sz w:val="28"/>
      </w:rPr>
      <w:pict>
        <v:shape id="_x0000_s3077" o:spid="_x0000_s307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D19EC"/>
    <w:multiLevelType w:val="singleLevel"/>
    <w:tmpl w:val="A3CD19EC"/>
    <w:lvl w:ilvl="0" w:tentative="0">
      <w:start w:val="1"/>
      <w:numFmt w:val="chineseCounting"/>
      <w:suff w:val="nothing"/>
      <w:lvlText w:val="%1、"/>
      <w:lvlJc w:val="left"/>
      <w:pPr>
        <w:ind w:left="-420" w:firstLine="420"/>
      </w:pPr>
      <w:rPr>
        <w:rFonts w:hint="eastAsia" w:ascii="黑体" w:hAnsi="黑体" w:eastAsia="黑体" w:cs="黑体"/>
        <w:sz w:val="32"/>
        <w:szCs w:val="32"/>
      </w:rPr>
    </w:lvl>
  </w:abstractNum>
  <w:abstractNum w:abstractNumId="1">
    <w:nsid w:val="3E82AB86"/>
    <w:multiLevelType w:val="singleLevel"/>
    <w:tmpl w:val="3E82AB86"/>
    <w:lvl w:ilvl="0" w:tentative="0">
      <w:start w:val="1"/>
      <w:numFmt w:val="decimal"/>
      <w:lvlText w:val="%1."/>
      <w:lvlJc w:val="left"/>
      <w:pPr>
        <w:ind w:left="676"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26"/>
  <w:drawingGridVerticalSpacing w:val="381"/>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Y2MDdiNDU2MDAxYTllNmRjZWMwMTI1MWQ3ZTY3OWYifQ=="/>
  </w:docVars>
  <w:rsids>
    <w:rsidRoot w:val="00E36BCE"/>
    <w:rsid w:val="00003168"/>
    <w:rsid w:val="000041FC"/>
    <w:rsid w:val="000059CE"/>
    <w:rsid w:val="000559D2"/>
    <w:rsid w:val="00081B84"/>
    <w:rsid w:val="0008298F"/>
    <w:rsid w:val="00084A3F"/>
    <w:rsid w:val="000A688A"/>
    <w:rsid w:val="000B5226"/>
    <w:rsid w:val="000D50ED"/>
    <w:rsid w:val="000E3D35"/>
    <w:rsid w:val="000F41BE"/>
    <w:rsid w:val="000F5F6B"/>
    <w:rsid w:val="001071BD"/>
    <w:rsid w:val="001244CC"/>
    <w:rsid w:val="00142730"/>
    <w:rsid w:val="001473EE"/>
    <w:rsid w:val="00150719"/>
    <w:rsid w:val="00152265"/>
    <w:rsid w:val="00153A15"/>
    <w:rsid w:val="00155347"/>
    <w:rsid w:val="0016058D"/>
    <w:rsid w:val="00164C67"/>
    <w:rsid w:val="00175F3D"/>
    <w:rsid w:val="00186D94"/>
    <w:rsid w:val="001900D7"/>
    <w:rsid w:val="001C3BEB"/>
    <w:rsid w:val="001C3D40"/>
    <w:rsid w:val="001C6467"/>
    <w:rsid w:val="001F26F5"/>
    <w:rsid w:val="001F7EDD"/>
    <w:rsid w:val="00214B79"/>
    <w:rsid w:val="00240BE3"/>
    <w:rsid w:val="00251250"/>
    <w:rsid w:val="002528BC"/>
    <w:rsid w:val="002713BE"/>
    <w:rsid w:val="002742CD"/>
    <w:rsid w:val="0027455C"/>
    <w:rsid w:val="00277A80"/>
    <w:rsid w:val="00295FAC"/>
    <w:rsid w:val="002A3434"/>
    <w:rsid w:val="002A66B8"/>
    <w:rsid w:val="002E55B5"/>
    <w:rsid w:val="002E63D0"/>
    <w:rsid w:val="002F0338"/>
    <w:rsid w:val="00340F98"/>
    <w:rsid w:val="0034191E"/>
    <w:rsid w:val="00367781"/>
    <w:rsid w:val="003830F3"/>
    <w:rsid w:val="00395F85"/>
    <w:rsid w:val="003B091D"/>
    <w:rsid w:val="003C2DC6"/>
    <w:rsid w:val="003F12A2"/>
    <w:rsid w:val="003F5135"/>
    <w:rsid w:val="00407E67"/>
    <w:rsid w:val="00414D38"/>
    <w:rsid w:val="00424A0F"/>
    <w:rsid w:val="00424D34"/>
    <w:rsid w:val="00425706"/>
    <w:rsid w:val="00437A7E"/>
    <w:rsid w:val="00447640"/>
    <w:rsid w:val="00454D9C"/>
    <w:rsid w:val="00457D8E"/>
    <w:rsid w:val="0046112E"/>
    <w:rsid w:val="004849CC"/>
    <w:rsid w:val="00492B01"/>
    <w:rsid w:val="00495969"/>
    <w:rsid w:val="004A3AF5"/>
    <w:rsid w:val="004B0362"/>
    <w:rsid w:val="004D4AF3"/>
    <w:rsid w:val="005176DC"/>
    <w:rsid w:val="00517C8A"/>
    <w:rsid w:val="0053287F"/>
    <w:rsid w:val="00532AB6"/>
    <w:rsid w:val="00551A51"/>
    <w:rsid w:val="00561808"/>
    <w:rsid w:val="00576C2F"/>
    <w:rsid w:val="00580005"/>
    <w:rsid w:val="00595D77"/>
    <w:rsid w:val="005975F1"/>
    <w:rsid w:val="005A7B5F"/>
    <w:rsid w:val="005B0DDF"/>
    <w:rsid w:val="005B27A5"/>
    <w:rsid w:val="005D2249"/>
    <w:rsid w:val="005D30A4"/>
    <w:rsid w:val="005D64A5"/>
    <w:rsid w:val="005F5910"/>
    <w:rsid w:val="005F7951"/>
    <w:rsid w:val="0060339B"/>
    <w:rsid w:val="006243D0"/>
    <w:rsid w:val="00625C36"/>
    <w:rsid w:val="0063086E"/>
    <w:rsid w:val="00636A00"/>
    <w:rsid w:val="00646358"/>
    <w:rsid w:val="00662033"/>
    <w:rsid w:val="006642D1"/>
    <w:rsid w:val="00680903"/>
    <w:rsid w:val="00683344"/>
    <w:rsid w:val="00690CB3"/>
    <w:rsid w:val="006B25A7"/>
    <w:rsid w:val="006B3919"/>
    <w:rsid w:val="006C03F2"/>
    <w:rsid w:val="006C55E0"/>
    <w:rsid w:val="006D579A"/>
    <w:rsid w:val="006E52C4"/>
    <w:rsid w:val="006E5962"/>
    <w:rsid w:val="006E6C3C"/>
    <w:rsid w:val="006F30A4"/>
    <w:rsid w:val="00714269"/>
    <w:rsid w:val="007170F6"/>
    <w:rsid w:val="00742093"/>
    <w:rsid w:val="00742BB4"/>
    <w:rsid w:val="007451FB"/>
    <w:rsid w:val="00756C14"/>
    <w:rsid w:val="007578F5"/>
    <w:rsid w:val="00762844"/>
    <w:rsid w:val="0077624C"/>
    <w:rsid w:val="00776AAE"/>
    <w:rsid w:val="00782957"/>
    <w:rsid w:val="0078470A"/>
    <w:rsid w:val="007F59CA"/>
    <w:rsid w:val="008046EC"/>
    <w:rsid w:val="00807985"/>
    <w:rsid w:val="00815B23"/>
    <w:rsid w:val="0083491F"/>
    <w:rsid w:val="00842578"/>
    <w:rsid w:val="00845BAC"/>
    <w:rsid w:val="00865904"/>
    <w:rsid w:val="0087768D"/>
    <w:rsid w:val="008826CD"/>
    <w:rsid w:val="008878DE"/>
    <w:rsid w:val="00887D42"/>
    <w:rsid w:val="00897C97"/>
    <w:rsid w:val="008A48C8"/>
    <w:rsid w:val="008B082D"/>
    <w:rsid w:val="008B30B2"/>
    <w:rsid w:val="008D0E49"/>
    <w:rsid w:val="008D4EC3"/>
    <w:rsid w:val="008E2D09"/>
    <w:rsid w:val="008F1822"/>
    <w:rsid w:val="008F46D9"/>
    <w:rsid w:val="0090396E"/>
    <w:rsid w:val="00916EB5"/>
    <w:rsid w:val="0093794B"/>
    <w:rsid w:val="009555ED"/>
    <w:rsid w:val="00983349"/>
    <w:rsid w:val="00983F46"/>
    <w:rsid w:val="009A4EFE"/>
    <w:rsid w:val="009D0061"/>
    <w:rsid w:val="009D1A74"/>
    <w:rsid w:val="009E61C2"/>
    <w:rsid w:val="009F5C9D"/>
    <w:rsid w:val="00A049BD"/>
    <w:rsid w:val="00A0736A"/>
    <w:rsid w:val="00A22214"/>
    <w:rsid w:val="00A2503C"/>
    <w:rsid w:val="00A25F22"/>
    <w:rsid w:val="00A378B5"/>
    <w:rsid w:val="00A50C6A"/>
    <w:rsid w:val="00A52B39"/>
    <w:rsid w:val="00A65D0D"/>
    <w:rsid w:val="00A842CC"/>
    <w:rsid w:val="00AA19A3"/>
    <w:rsid w:val="00AA237F"/>
    <w:rsid w:val="00AB0A40"/>
    <w:rsid w:val="00AB0F17"/>
    <w:rsid w:val="00AB2C74"/>
    <w:rsid w:val="00AB70A6"/>
    <w:rsid w:val="00AC75ED"/>
    <w:rsid w:val="00AD3E28"/>
    <w:rsid w:val="00AE5F44"/>
    <w:rsid w:val="00AF3F64"/>
    <w:rsid w:val="00B15A82"/>
    <w:rsid w:val="00B24DEF"/>
    <w:rsid w:val="00B30B96"/>
    <w:rsid w:val="00B5043D"/>
    <w:rsid w:val="00B57D56"/>
    <w:rsid w:val="00B65C2C"/>
    <w:rsid w:val="00B66521"/>
    <w:rsid w:val="00B70C69"/>
    <w:rsid w:val="00B776C0"/>
    <w:rsid w:val="00B82DBE"/>
    <w:rsid w:val="00B86D97"/>
    <w:rsid w:val="00B93079"/>
    <w:rsid w:val="00BA03F5"/>
    <w:rsid w:val="00BD0F17"/>
    <w:rsid w:val="00BF3296"/>
    <w:rsid w:val="00C01FEA"/>
    <w:rsid w:val="00C312D3"/>
    <w:rsid w:val="00C366CC"/>
    <w:rsid w:val="00C40AFC"/>
    <w:rsid w:val="00C432F9"/>
    <w:rsid w:val="00C45CE2"/>
    <w:rsid w:val="00C462E4"/>
    <w:rsid w:val="00C54236"/>
    <w:rsid w:val="00C82FA5"/>
    <w:rsid w:val="00C94258"/>
    <w:rsid w:val="00CA2DDB"/>
    <w:rsid w:val="00CA78DC"/>
    <w:rsid w:val="00CC5FDA"/>
    <w:rsid w:val="00CD3E7C"/>
    <w:rsid w:val="00D06376"/>
    <w:rsid w:val="00D1176A"/>
    <w:rsid w:val="00D14812"/>
    <w:rsid w:val="00D25D0B"/>
    <w:rsid w:val="00D260EC"/>
    <w:rsid w:val="00D261AD"/>
    <w:rsid w:val="00D373C1"/>
    <w:rsid w:val="00D4054D"/>
    <w:rsid w:val="00D549B5"/>
    <w:rsid w:val="00D57CE3"/>
    <w:rsid w:val="00D64992"/>
    <w:rsid w:val="00D762D3"/>
    <w:rsid w:val="00D90BB7"/>
    <w:rsid w:val="00DA5EC3"/>
    <w:rsid w:val="00DB011B"/>
    <w:rsid w:val="00DB4E39"/>
    <w:rsid w:val="00DC0946"/>
    <w:rsid w:val="00DC09AB"/>
    <w:rsid w:val="00DC4686"/>
    <w:rsid w:val="00DC5154"/>
    <w:rsid w:val="00DE156F"/>
    <w:rsid w:val="00DF0657"/>
    <w:rsid w:val="00E134AF"/>
    <w:rsid w:val="00E22C7E"/>
    <w:rsid w:val="00E36BCE"/>
    <w:rsid w:val="00E43DE2"/>
    <w:rsid w:val="00E523C6"/>
    <w:rsid w:val="00E666EB"/>
    <w:rsid w:val="00E84639"/>
    <w:rsid w:val="00EB1A7F"/>
    <w:rsid w:val="00EB247C"/>
    <w:rsid w:val="00EB4567"/>
    <w:rsid w:val="00EB5262"/>
    <w:rsid w:val="00EF1C70"/>
    <w:rsid w:val="00F015E5"/>
    <w:rsid w:val="00F04798"/>
    <w:rsid w:val="00F10031"/>
    <w:rsid w:val="00F225FD"/>
    <w:rsid w:val="00F27232"/>
    <w:rsid w:val="00F54ADE"/>
    <w:rsid w:val="00F55248"/>
    <w:rsid w:val="00F91FA8"/>
    <w:rsid w:val="00F93CA1"/>
    <w:rsid w:val="00FA417A"/>
    <w:rsid w:val="00FB070F"/>
    <w:rsid w:val="00FB5A43"/>
    <w:rsid w:val="00FB6424"/>
    <w:rsid w:val="00FC77FF"/>
    <w:rsid w:val="00FD7CA5"/>
    <w:rsid w:val="00FF2CE4"/>
    <w:rsid w:val="019F5755"/>
    <w:rsid w:val="01AF3509"/>
    <w:rsid w:val="01B228E5"/>
    <w:rsid w:val="024F3426"/>
    <w:rsid w:val="035330B1"/>
    <w:rsid w:val="040526E3"/>
    <w:rsid w:val="04451807"/>
    <w:rsid w:val="04573E3C"/>
    <w:rsid w:val="04CE2C44"/>
    <w:rsid w:val="04FF006F"/>
    <w:rsid w:val="053673FD"/>
    <w:rsid w:val="05B73A31"/>
    <w:rsid w:val="06035CF7"/>
    <w:rsid w:val="06811674"/>
    <w:rsid w:val="08631B38"/>
    <w:rsid w:val="0A9C3BFB"/>
    <w:rsid w:val="0B5638B3"/>
    <w:rsid w:val="0B95607E"/>
    <w:rsid w:val="0C71257B"/>
    <w:rsid w:val="0CFA563D"/>
    <w:rsid w:val="0D0B48E8"/>
    <w:rsid w:val="0D521B03"/>
    <w:rsid w:val="0D8C089C"/>
    <w:rsid w:val="0DC81496"/>
    <w:rsid w:val="0E0A7D07"/>
    <w:rsid w:val="0E992E47"/>
    <w:rsid w:val="0EAE0A5C"/>
    <w:rsid w:val="0EDB2752"/>
    <w:rsid w:val="0F572683"/>
    <w:rsid w:val="0FFF256B"/>
    <w:rsid w:val="101007F2"/>
    <w:rsid w:val="10383271"/>
    <w:rsid w:val="111E55D1"/>
    <w:rsid w:val="11564C84"/>
    <w:rsid w:val="11A203CD"/>
    <w:rsid w:val="12F8158F"/>
    <w:rsid w:val="13E95233"/>
    <w:rsid w:val="157E639E"/>
    <w:rsid w:val="15A66B30"/>
    <w:rsid w:val="162222DD"/>
    <w:rsid w:val="162F423E"/>
    <w:rsid w:val="16D04E51"/>
    <w:rsid w:val="171759F4"/>
    <w:rsid w:val="18794386"/>
    <w:rsid w:val="18922C2E"/>
    <w:rsid w:val="19AB22CD"/>
    <w:rsid w:val="19BE2D0C"/>
    <w:rsid w:val="1A073443"/>
    <w:rsid w:val="1A245DF7"/>
    <w:rsid w:val="1A77119E"/>
    <w:rsid w:val="1ABB2407"/>
    <w:rsid w:val="1B3E6C31"/>
    <w:rsid w:val="1B8D69A8"/>
    <w:rsid w:val="1BC36F5B"/>
    <w:rsid w:val="1C120175"/>
    <w:rsid w:val="1C236234"/>
    <w:rsid w:val="1CB549F6"/>
    <w:rsid w:val="1CC3355C"/>
    <w:rsid w:val="1D2F2838"/>
    <w:rsid w:val="1D4D3D93"/>
    <w:rsid w:val="1DB46889"/>
    <w:rsid w:val="1E983500"/>
    <w:rsid w:val="1EDF6778"/>
    <w:rsid w:val="207D0C1A"/>
    <w:rsid w:val="21290D35"/>
    <w:rsid w:val="214B4AC0"/>
    <w:rsid w:val="21513817"/>
    <w:rsid w:val="21520F0F"/>
    <w:rsid w:val="219F39BC"/>
    <w:rsid w:val="226377FE"/>
    <w:rsid w:val="22A96DA2"/>
    <w:rsid w:val="22F47B5D"/>
    <w:rsid w:val="23492168"/>
    <w:rsid w:val="241D2CBC"/>
    <w:rsid w:val="2452199F"/>
    <w:rsid w:val="245C4631"/>
    <w:rsid w:val="246456EF"/>
    <w:rsid w:val="24C61873"/>
    <w:rsid w:val="25C25CD9"/>
    <w:rsid w:val="26A37486"/>
    <w:rsid w:val="26A60E19"/>
    <w:rsid w:val="276121DB"/>
    <w:rsid w:val="27BF7274"/>
    <w:rsid w:val="27F94776"/>
    <w:rsid w:val="28EF3743"/>
    <w:rsid w:val="2941062B"/>
    <w:rsid w:val="294D209E"/>
    <w:rsid w:val="2970390B"/>
    <w:rsid w:val="29860ABB"/>
    <w:rsid w:val="2A276D85"/>
    <w:rsid w:val="2B0D05C6"/>
    <w:rsid w:val="2B1F3631"/>
    <w:rsid w:val="2B762C86"/>
    <w:rsid w:val="2CFA1C4B"/>
    <w:rsid w:val="2D29296F"/>
    <w:rsid w:val="2DDC0901"/>
    <w:rsid w:val="2E156206"/>
    <w:rsid w:val="2FDF70FC"/>
    <w:rsid w:val="300E632D"/>
    <w:rsid w:val="30E52AD1"/>
    <w:rsid w:val="311A50FE"/>
    <w:rsid w:val="317715AE"/>
    <w:rsid w:val="319055B1"/>
    <w:rsid w:val="32054FF2"/>
    <w:rsid w:val="326B5885"/>
    <w:rsid w:val="32C1311A"/>
    <w:rsid w:val="33014773"/>
    <w:rsid w:val="33044CEF"/>
    <w:rsid w:val="336610F1"/>
    <w:rsid w:val="348728F8"/>
    <w:rsid w:val="34D73671"/>
    <w:rsid w:val="34E4234F"/>
    <w:rsid w:val="359774B5"/>
    <w:rsid w:val="35CB3FBD"/>
    <w:rsid w:val="35F7216F"/>
    <w:rsid w:val="35F83856"/>
    <w:rsid w:val="362A0EA8"/>
    <w:rsid w:val="363C05A3"/>
    <w:rsid w:val="37823EC1"/>
    <w:rsid w:val="37B720D4"/>
    <w:rsid w:val="37ED4A94"/>
    <w:rsid w:val="386205C7"/>
    <w:rsid w:val="38FF2355"/>
    <w:rsid w:val="3A833AC6"/>
    <w:rsid w:val="3B453234"/>
    <w:rsid w:val="3B5875E9"/>
    <w:rsid w:val="3B703AF8"/>
    <w:rsid w:val="3C9C4638"/>
    <w:rsid w:val="3C9D66CF"/>
    <w:rsid w:val="3CD01804"/>
    <w:rsid w:val="3D270ABB"/>
    <w:rsid w:val="3D5660A8"/>
    <w:rsid w:val="3D7907AC"/>
    <w:rsid w:val="3F3E0212"/>
    <w:rsid w:val="402D3EEC"/>
    <w:rsid w:val="408F5813"/>
    <w:rsid w:val="40CA70A5"/>
    <w:rsid w:val="40D7318A"/>
    <w:rsid w:val="410C17AF"/>
    <w:rsid w:val="41167F3A"/>
    <w:rsid w:val="417A0F2B"/>
    <w:rsid w:val="417A5670"/>
    <w:rsid w:val="421F31ED"/>
    <w:rsid w:val="4279430F"/>
    <w:rsid w:val="42E76584"/>
    <w:rsid w:val="43A10533"/>
    <w:rsid w:val="440A5E54"/>
    <w:rsid w:val="448D617A"/>
    <w:rsid w:val="45F62CE1"/>
    <w:rsid w:val="465F3CF4"/>
    <w:rsid w:val="46F97666"/>
    <w:rsid w:val="47214025"/>
    <w:rsid w:val="47F16DCC"/>
    <w:rsid w:val="47F93D2D"/>
    <w:rsid w:val="48305E8E"/>
    <w:rsid w:val="4A330B7D"/>
    <w:rsid w:val="4BBF476D"/>
    <w:rsid w:val="4C1936F7"/>
    <w:rsid w:val="4C5B3BB1"/>
    <w:rsid w:val="4C9F56BF"/>
    <w:rsid w:val="4CFF720C"/>
    <w:rsid w:val="4DA67CE1"/>
    <w:rsid w:val="4DC11ED3"/>
    <w:rsid w:val="4E392CCF"/>
    <w:rsid w:val="4E8B3436"/>
    <w:rsid w:val="4F8E0E21"/>
    <w:rsid w:val="50515ADF"/>
    <w:rsid w:val="50925CEA"/>
    <w:rsid w:val="51B610E0"/>
    <w:rsid w:val="525D5470"/>
    <w:rsid w:val="52930856"/>
    <w:rsid w:val="56452398"/>
    <w:rsid w:val="56ED24C3"/>
    <w:rsid w:val="57182262"/>
    <w:rsid w:val="584D61CC"/>
    <w:rsid w:val="59597000"/>
    <w:rsid w:val="59BB5868"/>
    <w:rsid w:val="5A4A4C4C"/>
    <w:rsid w:val="5C517840"/>
    <w:rsid w:val="5C961D34"/>
    <w:rsid w:val="5CB84B34"/>
    <w:rsid w:val="5CC85896"/>
    <w:rsid w:val="5CD75754"/>
    <w:rsid w:val="5CE06833"/>
    <w:rsid w:val="5DA877E8"/>
    <w:rsid w:val="5DAC4594"/>
    <w:rsid w:val="5DB963BB"/>
    <w:rsid w:val="5DF77E42"/>
    <w:rsid w:val="5E3C4751"/>
    <w:rsid w:val="5E8E5ECD"/>
    <w:rsid w:val="5EF64A1F"/>
    <w:rsid w:val="5F7666D7"/>
    <w:rsid w:val="5F865CFA"/>
    <w:rsid w:val="5FEA0358"/>
    <w:rsid w:val="60233359"/>
    <w:rsid w:val="60972532"/>
    <w:rsid w:val="61466C92"/>
    <w:rsid w:val="61496466"/>
    <w:rsid w:val="61A250CE"/>
    <w:rsid w:val="61B34C34"/>
    <w:rsid w:val="62E7700C"/>
    <w:rsid w:val="62F15EA6"/>
    <w:rsid w:val="631F494E"/>
    <w:rsid w:val="63236FF0"/>
    <w:rsid w:val="63F013ED"/>
    <w:rsid w:val="645203E1"/>
    <w:rsid w:val="64DE6948"/>
    <w:rsid w:val="650236F2"/>
    <w:rsid w:val="65A13259"/>
    <w:rsid w:val="67047713"/>
    <w:rsid w:val="6709552C"/>
    <w:rsid w:val="672E53DA"/>
    <w:rsid w:val="67587B47"/>
    <w:rsid w:val="67950109"/>
    <w:rsid w:val="68137209"/>
    <w:rsid w:val="68B005DE"/>
    <w:rsid w:val="68D6167E"/>
    <w:rsid w:val="69080DDB"/>
    <w:rsid w:val="6924438E"/>
    <w:rsid w:val="69CF735F"/>
    <w:rsid w:val="6A230634"/>
    <w:rsid w:val="6AD83C0E"/>
    <w:rsid w:val="6BE937E9"/>
    <w:rsid w:val="6BF83EF6"/>
    <w:rsid w:val="6CCF3477"/>
    <w:rsid w:val="6D4F7755"/>
    <w:rsid w:val="6DAE75DF"/>
    <w:rsid w:val="6E040CD1"/>
    <w:rsid w:val="6E5550A1"/>
    <w:rsid w:val="6E7F6CF1"/>
    <w:rsid w:val="6EA8553A"/>
    <w:rsid w:val="706E232E"/>
    <w:rsid w:val="70DC595F"/>
    <w:rsid w:val="71590547"/>
    <w:rsid w:val="727C2C6E"/>
    <w:rsid w:val="72E91219"/>
    <w:rsid w:val="740B22C2"/>
    <w:rsid w:val="74135F49"/>
    <w:rsid w:val="74182858"/>
    <w:rsid w:val="75044CF8"/>
    <w:rsid w:val="75231213"/>
    <w:rsid w:val="76FA5450"/>
    <w:rsid w:val="776F3110"/>
    <w:rsid w:val="77D27DA8"/>
    <w:rsid w:val="784C1480"/>
    <w:rsid w:val="78E85A24"/>
    <w:rsid w:val="79707AB4"/>
    <w:rsid w:val="7A242201"/>
    <w:rsid w:val="7A297153"/>
    <w:rsid w:val="7AC0052D"/>
    <w:rsid w:val="7B407DAD"/>
    <w:rsid w:val="7BFE27FF"/>
    <w:rsid w:val="7C28620A"/>
    <w:rsid w:val="7C813BCF"/>
    <w:rsid w:val="7C920EF7"/>
    <w:rsid w:val="7CFC0A51"/>
    <w:rsid w:val="7D367EF2"/>
    <w:rsid w:val="7DC74B22"/>
    <w:rsid w:val="7DEE65F3"/>
    <w:rsid w:val="7F9A1A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ind w:left="111"/>
    </w:pPr>
    <w:rPr>
      <w:rFonts w:ascii="Calibri" w:hAnsi="Calibri" w:eastAsia="Calibri" w:cs="Calibri"/>
      <w:color w:val="000000"/>
      <w:sz w:val="36"/>
      <w:szCs w:val="36"/>
    </w:rPr>
  </w:style>
  <w:style w:type="paragraph" w:styleId="3">
    <w:name w:val="Plain Text"/>
    <w:basedOn w:val="1"/>
    <w:qFormat/>
    <w:uiPriority w:val="0"/>
    <w:rPr>
      <w:rFonts w:ascii="宋体" w:hAnsi="Courier New" w:eastAsia="宋体" w:cs="Courier New"/>
      <w:szCs w:val="21"/>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paragraph" w:styleId="14">
    <w:name w:val="List Paragraph"/>
    <w:basedOn w:val="1"/>
    <w:qFormat/>
    <w:uiPriority w:val="99"/>
    <w:pPr>
      <w:ind w:firstLine="420" w:firstLineChars="200"/>
    </w:pPr>
  </w:style>
  <w:style w:type="paragraph" w:customStyle="1" w:styleId="15">
    <w:name w:val="p0"/>
    <w:basedOn w:val="1"/>
    <w:qFormat/>
    <w:uiPriority w:val="0"/>
    <w:pPr>
      <w:widowControl/>
    </w:pPr>
    <w:rPr>
      <w:rFonts w:eastAsia="宋体"/>
      <w:kern w:val="0"/>
      <w:sz w:val="21"/>
      <w:szCs w:val="21"/>
    </w:rPr>
  </w:style>
  <w:style w:type="character" w:customStyle="1" w:styleId="16">
    <w:name w:val="font21"/>
    <w:basedOn w:val="11"/>
    <w:qFormat/>
    <w:uiPriority w:val="0"/>
    <w:rPr>
      <w:rFonts w:hint="eastAsia" w:ascii="宋体" w:hAnsi="宋体" w:eastAsia="宋体" w:cs="宋体"/>
      <w:color w:val="000000"/>
      <w:sz w:val="20"/>
      <w:szCs w:val="20"/>
      <w:u w:val="none"/>
    </w:rPr>
  </w:style>
  <w:style w:type="character" w:customStyle="1" w:styleId="17">
    <w:name w:val="页眉 Char"/>
    <w:link w:val="7"/>
    <w:uiPriority w:val="0"/>
    <w:rPr>
      <w:rFonts w:eastAsia="仿宋_GB2312"/>
      <w:kern w:val="2"/>
      <w:sz w:val="18"/>
      <w:szCs w:val="18"/>
    </w:rPr>
  </w:style>
  <w:style w:type="character" w:customStyle="1" w:styleId="18">
    <w:name w:val="font41"/>
    <w:basedOn w:val="11"/>
    <w:qFormat/>
    <w:uiPriority w:val="0"/>
    <w:rPr>
      <w:rFonts w:hint="eastAsia" w:ascii="宋体" w:hAnsi="宋体" w:eastAsia="宋体" w:cs="宋体"/>
      <w:b/>
      <w:color w:val="000000"/>
      <w:sz w:val="20"/>
      <w:szCs w:val="20"/>
      <w:u w:val="none"/>
    </w:rPr>
  </w:style>
  <w:style w:type="character" w:customStyle="1" w:styleId="19">
    <w:name w:val="页脚 Char"/>
    <w:link w:val="6"/>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6" textRotate="1"/>
    <customShpInfo spid="_x0000_s307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zjds</Company>
  <Pages>12</Pages>
  <Words>6385</Words>
  <Characters>6848</Characters>
  <Lines>78</Lines>
  <Paragraphs>22</Paragraphs>
  <TotalTime>122</TotalTime>
  <ScaleCrop>false</ScaleCrop>
  <LinksUpToDate>false</LinksUpToDate>
  <CharactersWithSpaces>6871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2017-03-17T08:30:00Z</dcterms:created>
  <dc:creator>oa</dc:creator>
  <cp:lastModifiedBy>沉默剧</cp:lastModifiedBy>
  <cp:lastPrinted>2021-03-01T06:11:00Z</cp:lastPrinted>
  <dcterms:modified xsi:type="dcterms:W3CDTF">2022-08-31T06:48:48Z</dcterms:modified>
  <dc:title>关于印发2013年度温州市级部门（单位）整体支出绩效管理试点实施方案的通知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FC32CD952BB44102A0728F8520F0C23F</vt:lpwstr>
  </property>
</Properties>
</file>