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D9A" w:rsidRDefault="006C1005">
      <w:pPr>
        <w:jc w:val="center"/>
        <w:rPr>
          <w:rFonts w:ascii="仿宋_GB2312" w:hAnsi="仿宋_GB2312"/>
          <w:b/>
          <w:sz w:val="44"/>
          <w:szCs w:val="44"/>
        </w:rPr>
      </w:pPr>
      <w:r>
        <w:rPr>
          <w:rFonts w:ascii="方正小标宋简体" w:hAnsi="方正小标宋简体"/>
          <w:b/>
          <w:sz w:val="44"/>
          <w:szCs w:val="44"/>
        </w:rPr>
        <w:t>202</w:t>
      </w:r>
      <w:r>
        <w:rPr>
          <w:rFonts w:ascii="方正小标宋简体" w:hAnsi="方正小标宋简体" w:hint="eastAsia"/>
          <w:b/>
          <w:sz w:val="44"/>
          <w:szCs w:val="44"/>
        </w:rPr>
        <w:t>0</w:t>
      </w:r>
      <w:r>
        <w:rPr>
          <w:rFonts w:ascii="方正小标宋简体" w:hAnsi="方正小标宋简体" w:hint="eastAsia"/>
          <w:b/>
          <w:sz w:val="44"/>
          <w:szCs w:val="44"/>
        </w:rPr>
        <w:t>年洪山街道办事处</w:t>
      </w:r>
      <w:r>
        <w:rPr>
          <w:rFonts w:ascii="方正小标宋简体" w:hAnsi="方正小标宋简体"/>
          <w:b/>
          <w:sz w:val="44"/>
          <w:szCs w:val="44"/>
        </w:rPr>
        <w:t>整体支出绩效</w:t>
      </w:r>
      <w:r>
        <w:rPr>
          <w:rFonts w:ascii="方正小标宋简体" w:hAnsi="方正小标宋简体" w:hint="eastAsia"/>
          <w:b/>
          <w:sz w:val="44"/>
          <w:szCs w:val="44"/>
        </w:rPr>
        <w:t xml:space="preserve">    </w:t>
      </w:r>
      <w:r>
        <w:rPr>
          <w:rFonts w:ascii="方正小标宋简体" w:hAnsi="方正小标宋简体"/>
          <w:b/>
          <w:sz w:val="44"/>
          <w:szCs w:val="44"/>
        </w:rPr>
        <w:t>自评报</w:t>
      </w:r>
      <w:r>
        <w:rPr>
          <w:rFonts w:ascii="宋体" w:eastAsia="宋体" w:hAnsi="宋体" w:cs="宋体" w:hint="eastAsia"/>
          <w:b/>
          <w:sz w:val="44"/>
          <w:szCs w:val="44"/>
        </w:rPr>
        <w:t>告</w:t>
      </w:r>
    </w:p>
    <w:p w:rsidR="00715D9A" w:rsidRDefault="00715D9A">
      <w:pPr>
        <w:widowControl/>
        <w:jc w:val="left"/>
        <w:rPr>
          <w:rFonts w:eastAsia="黑体"/>
          <w:sz w:val="32"/>
          <w:szCs w:val="32"/>
        </w:rPr>
      </w:pPr>
    </w:p>
    <w:p w:rsidR="00715D9A" w:rsidRDefault="006C1005">
      <w:pPr>
        <w:pStyle w:val="1"/>
        <w:widowControl/>
        <w:numPr>
          <w:ilvl w:val="0"/>
          <w:numId w:val="1"/>
        </w:numPr>
        <w:spacing w:line="600" w:lineRule="exact"/>
        <w:ind w:firstLineChars="0"/>
        <w:rPr>
          <w:rFonts w:eastAsia="黑体"/>
          <w:sz w:val="32"/>
          <w:szCs w:val="32"/>
        </w:rPr>
      </w:pPr>
      <w:r>
        <w:rPr>
          <w:rFonts w:ascii="黑体" w:eastAsia="黑体" w:hAnsi="黑体"/>
          <w:sz w:val="32"/>
          <w:szCs w:val="32"/>
        </w:rPr>
        <w:t>部门、单位基本情况</w:t>
      </w:r>
    </w:p>
    <w:p w:rsidR="00715D9A" w:rsidRDefault="006C1005">
      <w:pPr>
        <w:numPr>
          <w:ilvl w:val="0"/>
          <w:numId w:val="2"/>
        </w:numPr>
        <w:spacing w:line="520" w:lineRule="exact"/>
        <w:ind w:firstLineChars="200" w:firstLine="640"/>
        <w:rPr>
          <w:rFonts w:ascii="仿宋_GB2312" w:hAnsi="仿宋" w:cs="仿宋"/>
          <w:sz w:val="32"/>
          <w:szCs w:val="32"/>
        </w:rPr>
      </w:pPr>
      <w:r>
        <w:rPr>
          <w:rFonts w:ascii="仿宋_GB2312" w:hAnsi="仿宋" w:cs="仿宋" w:hint="eastAsia"/>
          <w:sz w:val="32"/>
          <w:szCs w:val="32"/>
        </w:rPr>
        <w:t>主要职能：</w:t>
      </w:r>
      <w:r w:rsidR="001377F4">
        <w:rPr>
          <w:rFonts w:ascii="仿宋_GB2312" w:hAnsi="仿宋" w:cs="仿宋" w:hint="eastAsia"/>
          <w:sz w:val="32"/>
          <w:szCs w:val="32"/>
        </w:rPr>
        <w:t xml:space="preserve">   </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（1）贯彻执行法律、法规、规章和市、区人民政府的决定、命令、指示，保证市、区政府各项任务顺利完成。</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（2）制定街道、社区全面发展建设规划并组织实施，向辖区内社会单位布置地区性、社会性、群众性工作任务，并监督检查落实情况。</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（3）负责街道财政预决算和收支管理，配合税务部门组织完成各项税收，促进区域经济发展。</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（4）开展爱国卫生、环境卫生、环境保护、绿化美化工作。</w:t>
      </w:r>
      <w:r w:rsidR="0049141B">
        <w:rPr>
          <w:rFonts w:ascii="仿宋_GB2312" w:cs="仿宋" w:hint="eastAsia"/>
          <w:sz w:val="32"/>
          <w:szCs w:val="32"/>
        </w:rPr>
        <w:t xml:space="preserve">   </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（5）参与城市建设，危房改造及居住小区的管理工作。</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（6）制定本辖区社会治安综合治理规划并组织落实，加强外来人口管理，保护老年人妇女、未成年人和残疾人的合法权益。</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（7）负责计划生育、红十字会、拥军优属、人民防空、防汛。指导监察劳动和社会保障工作。</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（8）加强社区服务设施的基础建设，整合社区资源，做好社会救助工作。</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（9）开展群众文化、体育活动和社区教育、卫生工作，普及科学常识，对居民进行法制和社会公德教育；组织单位和居民参与社会公益活动，建设社会主精神文明。</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（10）指导社区自治组织工作，加强社区居民委员会建</w:t>
      </w:r>
      <w:r>
        <w:rPr>
          <w:rFonts w:ascii="仿宋_GB2312" w:cs="仿宋" w:hint="eastAsia"/>
          <w:sz w:val="32"/>
          <w:szCs w:val="32"/>
        </w:rPr>
        <w:lastRenderedPageBreak/>
        <w:t>设，发挥社区代表会议作用，及时向上级政府反映居民的意见和要求。</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（11）统筹协调、监督检查区职能部门派出机构的行政执法工作，组织辖区内单位和居民对其工作进行考核和民主评议。</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（12）做好驻街单位和区域内企事业单位的服务。</w:t>
      </w:r>
    </w:p>
    <w:p w:rsidR="00715D9A" w:rsidRDefault="006C1005">
      <w:pPr>
        <w:spacing w:line="520" w:lineRule="exact"/>
        <w:ind w:firstLineChars="200" w:firstLine="640"/>
        <w:rPr>
          <w:rFonts w:ascii="仿宋_GB2312" w:hAnsi="仿宋" w:cs="仿宋"/>
          <w:sz w:val="32"/>
          <w:szCs w:val="32"/>
        </w:rPr>
      </w:pPr>
      <w:r>
        <w:rPr>
          <w:rFonts w:ascii="仿宋_GB2312" w:cs="仿宋" w:hint="eastAsia"/>
          <w:sz w:val="32"/>
          <w:szCs w:val="32"/>
        </w:rPr>
        <w:t>（13）完成区委、区政府交办的其他任务。</w:t>
      </w:r>
    </w:p>
    <w:p w:rsidR="00715D9A" w:rsidRDefault="006C1005">
      <w:pPr>
        <w:pStyle w:val="a4"/>
        <w:spacing w:before="30" w:beforeAutospacing="0" w:after="30" w:afterAutospacing="0"/>
        <w:ind w:firstLineChars="200" w:firstLine="640"/>
        <w:jc w:val="both"/>
        <w:rPr>
          <w:rFonts w:ascii="仿宋_GB2312" w:eastAsia="仿宋_GB2312" w:hAnsi="仿宋" w:cs="仿宋"/>
          <w:kern w:val="2"/>
          <w:sz w:val="32"/>
          <w:szCs w:val="32"/>
        </w:rPr>
      </w:pPr>
      <w:r>
        <w:rPr>
          <w:rFonts w:ascii="仿宋_GB2312" w:eastAsia="仿宋_GB2312" w:hAnsi="仿宋" w:cs="仿宋" w:hint="eastAsia"/>
          <w:kern w:val="2"/>
          <w:sz w:val="32"/>
          <w:szCs w:val="32"/>
        </w:rPr>
        <w:t>2．机构情况：本部门由 1 个行政单位组成，下设党政综合办公室、基层党建办公室、城市管理办公室、公共服务办公室、公共安全办公室、财政所、综合行政执法队、街道政务服务中心、街道网格化综合服务中心、街道退役军人服务站。</w:t>
      </w:r>
    </w:p>
    <w:p w:rsidR="00715D9A" w:rsidRDefault="006C1005">
      <w:pPr>
        <w:ind w:firstLineChars="200" w:firstLine="640"/>
        <w:rPr>
          <w:rFonts w:ascii="仿宋_GB2312" w:hAnsi="宋体" w:cs="宋体"/>
          <w:color w:val="000000"/>
          <w:kern w:val="0"/>
          <w:sz w:val="32"/>
          <w:szCs w:val="32"/>
        </w:rPr>
      </w:pPr>
      <w:r>
        <w:rPr>
          <w:rFonts w:ascii="仿宋_GB2312" w:hAnsi="仿宋" w:cs="仿宋" w:hint="eastAsia"/>
          <w:sz w:val="32"/>
          <w:szCs w:val="32"/>
        </w:rPr>
        <w:t>3．人员情况，本单位年末实有在职人数44人，（其中行政编17人，事业编27人），享受待遇人员7人，大中专毕业生2人，退休人员4人。</w:t>
      </w:r>
    </w:p>
    <w:p w:rsidR="00715D9A" w:rsidRDefault="006C1005">
      <w:pPr>
        <w:pStyle w:val="1"/>
        <w:widowControl/>
        <w:numPr>
          <w:ilvl w:val="0"/>
          <w:numId w:val="1"/>
        </w:numPr>
        <w:spacing w:line="600" w:lineRule="exact"/>
        <w:ind w:firstLineChars="0"/>
        <w:rPr>
          <w:rFonts w:eastAsia="黑体"/>
          <w:sz w:val="32"/>
          <w:szCs w:val="32"/>
        </w:rPr>
      </w:pPr>
      <w:r>
        <w:rPr>
          <w:rFonts w:ascii="黑体" w:eastAsia="黑体" w:hAnsi="黑体"/>
          <w:sz w:val="32"/>
          <w:szCs w:val="32"/>
        </w:rPr>
        <w:t>一般公共预算支出情况</w:t>
      </w:r>
    </w:p>
    <w:p w:rsidR="00715D9A" w:rsidRDefault="006C1005">
      <w:pPr>
        <w:pStyle w:val="1"/>
        <w:widowControl/>
        <w:numPr>
          <w:ilvl w:val="0"/>
          <w:numId w:val="3"/>
        </w:numPr>
        <w:spacing w:line="600" w:lineRule="exact"/>
        <w:ind w:firstLineChars="0"/>
        <w:rPr>
          <w:rFonts w:eastAsia="黑体"/>
          <w:sz w:val="32"/>
          <w:szCs w:val="32"/>
        </w:rPr>
      </w:pPr>
      <w:r>
        <w:rPr>
          <w:rFonts w:ascii="黑体" w:eastAsia="黑体" w:hAnsi="黑体"/>
          <w:sz w:val="32"/>
          <w:szCs w:val="32"/>
        </w:rPr>
        <w:t>基本支出情况</w:t>
      </w:r>
    </w:p>
    <w:p w:rsidR="00715D9A" w:rsidRDefault="006C1005" w:rsidP="00715D9A">
      <w:pPr>
        <w:pStyle w:val="1"/>
        <w:widowControl/>
        <w:spacing w:line="600" w:lineRule="exact"/>
        <w:ind w:firstLine="640"/>
        <w:rPr>
          <w:rFonts w:eastAsia="黑体"/>
          <w:sz w:val="32"/>
          <w:szCs w:val="32"/>
        </w:rPr>
      </w:pPr>
      <w:r>
        <w:rPr>
          <w:rFonts w:eastAsia="黑体" w:hint="eastAsia"/>
          <w:sz w:val="32"/>
          <w:szCs w:val="32"/>
        </w:rPr>
        <w:t xml:space="preserve"> </w:t>
      </w:r>
      <w:r>
        <w:rPr>
          <w:rFonts w:ascii="仿宋_GB2312" w:hAnsi="仿宋" w:cs="仿宋" w:hint="eastAsia"/>
          <w:sz w:val="32"/>
          <w:szCs w:val="32"/>
        </w:rPr>
        <w:t>一般公共预算基本支出1815.37万元，主要用于街道人员经费、日常公用经费开支。</w:t>
      </w:r>
    </w:p>
    <w:p w:rsidR="00715D9A" w:rsidRDefault="006C1005">
      <w:pPr>
        <w:pStyle w:val="1"/>
        <w:widowControl/>
        <w:numPr>
          <w:ilvl w:val="0"/>
          <w:numId w:val="3"/>
        </w:numPr>
        <w:spacing w:line="600" w:lineRule="exact"/>
        <w:ind w:firstLineChars="0"/>
        <w:rPr>
          <w:rFonts w:eastAsia="黑体"/>
          <w:sz w:val="32"/>
          <w:szCs w:val="32"/>
        </w:rPr>
      </w:pPr>
      <w:r>
        <w:rPr>
          <w:rFonts w:ascii="黑体" w:eastAsia="黑体" w:hAnsi="黑体"/>
          <w:sz w:val="32"/>
          <w:szCs w:val="32"/>
        </w:rPr>
        <w:t>项目支出情况</w:t>
      </w:r>
    </w:p>
    <w:p w:rsidR="00715D9A" w:rsidRDefault="006C1005">
      <w:pPr>
        <w:widowControl/>
        <w:spacing w:line="600" w:lineRule="exact"/>
        <w:ind w:firstLine="645"/>
        <w:jc w:val="left"/>
        <w:rPr>
          <w:sz w:val="32"/>
          <w:szCs w:val="32"/>
        </w:rPr>
      </w:pPr>
      <w:r>
        <w:rPr>
          <w:rFonts w:ascii="黑体" w:eastAsia="黑体" w:hAnsi="黑体" w:hint="eastAsia"/>
          <w:sz w:val="32"/>
          <w:szCs w:val="32"/>
        </w:rPr>
        <w:t xml:space="preserve"> </w:t>
      </w:r>
      <w:r>
        <w:rPr>
          <w:rFonts w:ascii="仿宋_GB2312" w:hAnsi="仿宋" w:cs="仿宋" w:hint="eastAsia"/>
          <w:sz w:val="32"/>
          <w:szCs w:val="32"/>
        </w:rPr>
        <w:t>项目支出</w:t>
      </w:r>
      <w:r>
        <w:rPr>
          <w:rFonts w:ascii="仿宋_GB2312" w:hAnsi="仿宋" w:cs="仿宋" w:hint="eastAsia"/>
          <w:color w:val="000000"/>
          <w:kern w:val="0"/>
          <w:sz w:val="32"/>
          <w:szCs w:val="32"/>
        </w:rPr>
        <w:t>1719.25</w:t>
      </w:r>
      <w:r>
        <w:rPr>
          <w:rFonts w:ascii="仿宋_GB2312" w:hAnsi="仿宋" w:cs="仿宋" w:hint="eastAsia"/>
          <w:sz w:val="32"/>
          <w:szCs w:val="32"/>
        </w:rPr>
        <w:t>万元，其中，社会管理支出318.7万元；城市管理支出547.49万元；公共服务支出703.45万元；经济发展支出89.3万元；其他事务支出60.31万元。</w:t>
      </w:r>
    </w:p>
    <w:p w:rsidR="00715D9A" w:rsidRDefault="006C1005">
      <w:pPr>
        <w:widowControl/>
        <w:spacing w:line="600" w:lineRule="exact"/>
        <w:ind w:firstLine="645"/>
        <w:jc w:val="left"/>
        <w:rPr>
          <w:rFonts w:eastAsia="黑体"/>
          <w:sz w:val="32"/>
          <w:szCs w:val="32"/>
        </w:rPr>
      </w:pPr>
      <w:r>
        <w:rPr>
          <w:rFonts w:ascii="黑体" w:eastAsia="黑体" w:hAnsi="黑体" w:hint="eastAsia"/>
          <w:sz w:val="32"/>
          <w:szCs w:val="32"/>
        </w:rPr>
        <w:lastRenderedPageBreak/>
        <w:t>三</w:t>
      </w:r>
      <w:r>
        <w:rPr>
          <w:rFonts w:ascii="黑体" w:eastAsia="黑体" w:hAnsi="黑体"/>
          <w:sz w:val="32"/>
          <w:szCs w:val="32"/>
        </w:rPr>
        <w:t>、部门整体支出绩效情况</w:t>
      </w:r>
    </w:p>
    <w:p w:rsidR="00715D9A" w:rsidRDefault="006C1005">
      <w:pPr>
        <w:widowControl/>
        <w:snapToGrid w:val="0"/>
        <w:spacing w:line="560" w:lineRule="exact"/>
        <w:ind w:firstLineChars="200" w:firstLine="640"/>
        <w:jc w:val="left"/>
        <w:rPr>
          <w:rFonts w:ascii="宋体" w:eastAsia="宋体" w:hAnsi="宋体" w:cs="宋体"/>
          <w:sz w:val="32"/>
          <w:szCs w:val="32"/>
        </w:rPr>
      </w:pPr>
      <w:r>
        <w:rPr>
          <w:rFonts w:ascii="仿宋_GB2312" w:hAnsi="仿宋_GB2312"/>
          <w:color w:val="000000"/>
          <w:sz w:val="32"/>
          <w:szCs w:val="32"/>
        </w:rPr>
        <w:t>（一）</w:t>
      </w:r>
      <w:r>
        <w:rPr>
          <w:rFonts w:ascii="仿宋_GB2312" w:hAnsi="仿宋_GB2312" w:cs="仿宋"/>
          <w:sz w:val="32"/>
          <w:szCs w:val="32"/>
        </w:rPr>
        <w:t>绩效目标设置情</w:t>
      </w:r>
      <w:r>
        <w:rPr>
          <w:rFonts w:ascii="宋体" w:eastAsia="宋体" w:hAnsi="宋体" w:cs="宋体" w:hint="eastAsia"/>
          <w:sz w:val="32"/>
          <w:szCs w:val="32"/>
        </w:rPr>
        <w:t>况</w:t>
      </w:r>
    </w:p>
    <w:p w:rsidR="00715D9A" w:rsidRDefault="006C1005">
      <w:pPr>
        <w:spacing w:line="520" w:lineRule="exact"/>
        <w:ind w:firstLineChars="300" w:firstLine="960"/>
        <w:rPr>
          <w:rFonts w:ascii="仿宋_GB2312" w:cs="仿宋"/>
          <w:sz w:val="32"/>
          <w:szCs w:val="32"/>
        </w:rPr>
      </w:pPr>
      <w:r>
        <w:rPr>
          <w:rFonts w:ascii="仿宋_GB2312" w:cs="仿宋" w:hint="eastAsia"/>
          <w:sz w:val="32"/>
          <w:szCs w:val="32"/>
        </w:rPr>
        <w:t>1.部门产出指标</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（1）质量指标：保障街道机关和4个社区人员及日常支出，确保各项工作任务的完成；</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（2）时效指标：2020年年底完成所有目标。各部门重点工作占部门整体支出50%及以上；</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（3）成本指标：严格控制预算，严格控制“三公经费”支出，做到预算支出不超标。</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（4）数量指标：部门整体支出支付进度：90%以上；政府采购执行率：100%；重点工作办结率：100%。</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2. 部门效益指标</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（1）社会公众及服务对象满意度：构建社会主义和谐社会，提升社会公众或服务对象满意度, 让群众舒心、放心、安心；</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（2）实现程度及影响：保障本单位在职人员人员的正常办公、生活秩序。基本满足在职人员的正常办公、生活要求。在2020年度完成各项资金支出进度要求，保障各项工作顺利开展、工资薪金按时发放；</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（3）经济效益指标：街道开展的各项活动，均为社会服务事业，产生了一定的间接经济效益；</w:t>
      </w:r>
    </w:p>
    <w:p w:rsidR="00715D9A" w:rsidRDefault="006C1005">
      <w:pPr>
        <w:spacing w:line="520" w:lineRule="exact"/>
        <w:ind w:firstLineChars="200" w:firstLine="640"/>
        <w:rPr>
          <w:rFonts w:ascii="仿宋_GB2312" w:cs="仿宋"/>
          <w:sz w:val="32"/>
          <w:szCs w:val="32"/>
        </w:rPr>
      </w:pPr>
      <w:r>
        <w:rPr>
          <w:rFonts w:ascii="仿宋_GB2312" w:cs="仿宋" w:hint="eastAsia"/>
          <w:sz w:val="32"/>
          <w:szCs w:val="32"/>
        </w:rPr>
        <w:t>（4）社会效益指标：落实区委、区政府各项指示和决定，抓好辖区的社会主义精神文明建设；</w:t>
      </w:r>
    </w:p>
    <w:p w:rsidR="00715D9A" w:rsidRDefault="006C1005">
      <w:pPr>
        <w:spacing w:line="520" w:lineRule="exact"/>
        <w:ind w:firstLineChars="200" w:firstLine="640"/>
        <w:rPr>
          <w:rFonts w:ascii="仿宋_GB2312"/>
        </w:rPr>
      </w:pPr>
      <w:r>
        <w:rPr>
          <w:rFonts w:ascii="仿宋_GB2312" w:cs="仿宋" w:hint="eastAsia"/>
          <w:sz w:val="32"/>
          <w:szCs w:val="32"/>
        </w:rPr>
        <w:t>（5）生态效益指标：兼顾实现经济生态环境可持续发展。</w:t>
      </w:r>
    </w:p>
    <w:p w:rsidR="00715D9A" w:rsidRDefault="006C1005">
      <w:pPr>
        <w:pStyle w:val="a0"/>
        <w:ind w:firstLineChars="200" w:firstLine="640"/>
        <w:rPr>
          <w:rFonts w:ascii="宋体" w:eastAsia="宋体" w:hAnsi="宋体" w:cs="宋体"/>
          <w:sz w:val="32"/>
          <w:szCs w:val="32"/>
        </w:rPr>
      </w:pPr>
      <w:r>
        <w:rPr>
          <w:rFonts w:ascii="仿宋_GB2312" w:eastAsia="仿宋_GB2312" w:hAnsi="仿宋" w:cs="仿宋" w:hint="eastAsia"/>
          <w:color w:val="auto"/>
          <w:sz w:val="32"/>
          <w:szCs w:val="32"/>
        </w:rPr>
        <w:t>本街道年初共设置6个项目大类绩效目标，分别是综合</w:t>
      </w:r>
      <w:r>
        <w:rPr>
          <w:rFonts w:ascii="仿宋_GB2312" w:eastAsia="仿宋_GB2312" w:hAnsi="仿宋" w:cs="仿宋" w:hint="eastAsia"/>
          <w:color w:val="auto"/>
          <w:sz w:val="32"/>
          <w:szCs w:val="32"/>
        </w:rPr>
        <w:lastRenderedPageBreak/>
        <w:t>治理、城市管理、公共服务、经济发展、社会管理及其他开支；并从成本目标、时效目标、质量目标及社会满意度四个维度进行考量。</w:t>
      </w:r>
    </w:p>
    <w:p w:rsidR="00715D9A" w:rsidRDefault="006C1005">
      <w:pPr>
        <w:widowControl/>
        <w:snapToGrid w:val="0"/>
        <w:spacing w:line="560" w:lineRule="exact"/>
        <w:ind w:firstLineChars="200" w:firstLine="640"/>
        <w:jc w:val="left"/>
        <w:rPr>
          <w:rFonts w:ascii="仿宋_GB2312" w:hAnsi="仿宋" w:cs="仿宋"/>
          <w:sz w:val="32"/>
          <w:szCs w:val="32"/>
        </w:rPr>
      </w:pPr>
      <w:r>
        <w:rPr>
          <w:rFonts w:ascii="仿宋_GB2312" w:hAnsi="仿宋_GB2312" w:cs="仿宋"/>
          <w:sz w:val="32"/>
          <w:szCs w:val="32"/>
        </w:rPr>
        <w:t>（二）绩效目标完成情</w:t>
      </w:r>
      <w:r>
        <w:rPr>
          <w:rFonts w:ascii="宋体" w:eastAsia="宋体" w:hAnsi="宋体" w:cs="宋体" w:hint="eastAsia"/>
          <w:sz w:val="32"/>
          <w:szCs w:val="32"/>
        </w:rPr>
        <w:t>况</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2020年，街道根据区年初工作规划和重点性工作，围绕两型社会的构建，全面建成小康社会的发展宏图，积极履职，强化管理，较好地完成了年度工作目标。通过加强预算收支管理，不断建立健全的内部管理体制，开展了行政事业单位内部控制制度的建设，并顺利完成，理顺了内部管理流程，部门整体支出管理情况得到了提升。部门整体支出绩效评价情况如下：</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1、经济性评价</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2020年街道严格控制预算支出，不断强化管理，严格执行了预决算公开。本年对社区的资金拨付均已及时进行支付或完成预算指标文件的下达，不存在截留或滞留专项资金情况；街道充分节约使用经费，基本支出较好地控制在预算额度内，人员经费严格按标准支出，经费尚有结余；三公经费使用控制较好。项目经费严格按照要求支付，做到专款专用。</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2、行政效能评价</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为强化部门整体支出，加强国有资产管理，提高资金使用效益，提升财务管理，建立节约型机关，2020年，街道</w:t>
      </w:r>
      <w:r>
        <w:rPr>
          <w:rFonts w:ascii="仿宋_GB2312" w:eastAsia="仿宋_GB2312" w:hAnsi="仿宋" w:cs="仿宋" w:hint="eastAsia"/>
          <w:color w:val="auto"/>
          <w:sz w:val="32"/>
          <w:szCs w:val="32"/>
        </w:rPr>
        <w:lastRenderedPageBreak/>
        <w:t>在强化业务管理、财务管理和厉行节约方面开展了大量工作，行政效能显著。</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(1)严格执行国库集中支付、公务卡结算制度、政府采购等有关规定，政府采购目录内的货物与服务全部按要求实施了政府采购，确保了支出管理流程、审批手续的完整。</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(2)强化资金使用的监督管理及预算管理。</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一是规范安全生产培训、宣传、专家咨询活动，严格办公用房管理等，控制办公经费开支；二是严格财务管理，严格财务审核把关，对各部办实行经费支出限额管理，严控经费支出，落实项目资金专款专用。</w:t>
      </w:r>
    </w:p>
    <w:p w:rsidR="00715D9A" w:rsidRDefault="006C1005">
      <w:pPr>
        <w:widowControl/>
        <w:spacing w:line="600" w:lineRule="exact"/>
        <w:ind w:firstLine="645"/>
        <w:jc w:val="left"/>
        <w:rPr>
          <w:rFonts w:eastAsia="黑体"/>
          <w:sz w:val="32"/>
          <w:szCs w:val="32"/>
        </w:rPr>
      </w:pPr>
      <w:r>
        <w:rPr>
          <w:rFonts w:ascii="黑体" w:eastAsia="黑体" w:hAnsi="黑体" w:hint="eastAsia"/>
          <w:color w:val="000000"/>
          <w:sz w:val="32"/>
          <w:szCs w:val="32"/>
        </w:rPr>
        <w:t>四</w:t>
      </w:r>
      <w:r>
        <w:rPr>
          <w:rFonts w:ascii="黑体" w:eastAsia="黑体" w:hAnsi="黑体"/>
          <w:color w:val="000000"/>
          <w:sz w:val="32"/>
          <w:szCs w:val="32"/>
        </w:rPr>
        <w:t>、</w:t>
      </w:r>
      <w:r>
        <w:rPr>
          <w:rFonts w:ascii="黑体" w:eastAsia="黑体" w:hAnsi="黑体"/>
          <w:sz w:val="32"/>
          <w:szCs w:val="32"/>
        </w:rPr>
        <w:t>存在的主要问题及下一步改进措施</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（一）存在的问题</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年初预算时对专项资金预计不准确，对街道的专项开支预算不周全，导致实际开支时部分项目资金不足，实际执行时未严格按照预算执行，导致项目偏差。</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 xml:space="preserve">精准预算、严格执行将是我们绩效管理的工作方向。 </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（二）改进的措施：</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1.继续加强指导和培训的力度，加强对各部办申报项目绩效的指导，使项目编制更加符合绩效评价相关要求；</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2.适时开展培训，提高各部门、实施单位对专项资金使用绩效评价工作，重要意义的认识，牢固树立绩效管理理念，</w:t>
      </w:r>
    </w:p>
    <w:p w:rsidR="00715D9A" w:rsidRDefault="006C1005">
      <w:pPr>
        <w:pStyle w:val="a0"/>
        <w:ind w:firstLineChars="200" w:firstLine="640"/>
        <w:rPr>
          <w:rFonts w:ascii="仿宋_GB2312" w:eastAsia="仿宋_GB2312" w:hAnsi="仿宋" w:cs="仿宋"/>
          <w:color w:val="auto"/>
          <w:sz w:val="32"/>
          <w:szCs w:val="32"/>
        </w:rPr>
      </w:pPr>
      <w:r>
        <w:rPr>
          <w:rFonts w:ascii="仿宋_GB2312" w:eastAsia="仿宋_GB2312" w:hAnsi="仿宋" w:cs="仿宋" w:hint="eastAsia"/>
          <w:color w:val="auto"/>
          <w:sz w:val="32"/>
          <w:szCs w:val="32"/>
        </w:rPr>
        <w:t>3.同时进一步提高绩效评价工作方式、方法，将已完成</w:t>
      </w:r>
      <w:r>
        <w:rPr>
          <w:rFonts w:ascii="仿宋_GB2312" w:eastAsia="仿宋_GB2312" w:hAnsi="仿宋" w:cs="仿宋" w:hint="eastAsia"/>
          <w:color w:val="auto"/>
          <w:sz w:val="32"/>
          <w:szCs w:val="32"/>
        </w:rPr>
        <w:lastRenderedPageBreak/>
        <w:t>的所有工作绩效成果充分体现出来。精准预算、严格执行将是我们绩效管理的工作方向</w:t>
      </w:r>
      <w:bookmarkStart w:id="0" w:name="_GoBack"/>
      <w:bookmarkEnd w:id="0"/>
      <w:r>
        <w:rPr>
          <w:rFonts w:ascii="仿宋_GB2312" w:eastAsia="仿宋_GB2312" w:hAnsi="仿宋" w:cs="仿宋" w:hint="eastAsia"/>
          <w:color w:val="auto"/>
          <w:sz w:val="32"/>
          <w:szCs w:val="32"/>
        </w:rPr>
        <w:t>。</w:t>
      </w:r>
    </w:p>
    <w:p w:rsidR="00715D9A" w:rsidRDefault="006C1005">
      <w:pPr>
        <w:widowControl/>
        <w:spacing w:line="600" w:lineRule="exact"/>
        <w:ind w:firstLine="645"/>
        <w:jc w:val="left"/>
        <w:rPr>
          <w:rFonts w:ascii="黑体" w:eastAsia="黑体" w:hAnsi="黑体"/>
          <w:sz w:val="32"/>
          <w:szCs w:val="32"/>
        </w:rPr>
      </w:pPr>
      <w:r>
        <w:rPr>
          <w:rFonts w:ascii="黑体" w:eastAsia="黑体" w:hAnsi="黑体" w:hint="eastAsia"/>
          <w:sz w:val="32"/>
          <w:szCs w:val="32"/>
        </w:rPr>
        <w:t>五</w:t>
      </w:r>
      <w:r>
        <w:rPr>
          <w:rFonts w:ascii="黑体" w:eastAsia="黑体" w:hAnsi="黑体"/>
          <w:sz w:val="32"/>
          <w:szCs w:val="32"/>
        </w:rPr>
        <w:t>、其他需要说明的情况</w:t>
      </w:r>
    </w:p>
    <w:p w:rsidR="00715D9A" w:rsidRDefault="006C1005">
      <w:pPr>
        <w:pStyle w:val="a0"/>
        <w:rPr>
          <w:rFonts w:eastAsia="黑体"/>
        </w:rPr>
      </w:pPr>
      <w:r>
        <w:rPr>
          <w:rFonts w:ascii="黑体" w:eastAsia="黑体" w:hAnsi="黑体" w:hint="eastAsia"/>
          <w:sz w:val="32"/>
          <w:szCs w:val="32"/>
        </w:rPr>
        <w:t xml:space="preserve">    </w:t>
      </w:r>
      <w:r>
        <w:rPr>
          <w:rFonts w:ascii="仿宋_GB2312" w:eastAsia="仿宋_GB2312" w:hAnsi="Times New Roman" w:cs="仿宋" w:hint="eastAsia"/>
          <w:color w:val="auto"/>
          <w:sz w:val="32"/>
          <w:szCs w:val="32"/>
        </w:rPr>
        <w:t>无</w:t>
      </w:r>
      <w:r w:rsidR="0049141B">
        <w:rPr>
          <w:rFonts w:ascii="仿宋_GB2312" w:eastAsia="仿宋_GB2312" w:hAnsi="Times New Roman" w:cs="仿宋" w:hint="eastAsia"/>
          <w:color w:val="auto"/>
          <w:sz w:val="32"/>
          <w:szCs w:val="32"/>
        </w:rPr>
        <w:t xml:space="preserve">   </w:t>
      </w:r>
    </w:p>
    <w:p w:rsidR="00715D9A" w:rsidRDefault="00715D9A"/>
    <w:sectPr w:rsidR="00715D9A" w:rsidSect="00715D9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Times New Roman"/>
    <w:charset w:val="00"/>
    <w:family w:val="auto"/>
    <w:pitch w:val="default"/>
    <w:sig w:usb0="00000000" w:usb1="00000000" w:usb2="00000000" w:usb3="00000000" w:csb0="00000000" w:csb1="00000000"/>
  </w:font>
  <w:font w:name="黑体">
    <w:altName w:val="SimHei"/>
    <w:panose1 w:val="02010600030101010101"/>
    <w:charset w:val="86"/>
    <w:family w:val="auto"/>
    <w:pitch w:val="variable"/>
    <w:sig w:usb0="00000001" w:usb1="080E0000" w:usb2="00000010" w:usb3="00000000" w:csb0="00040000" w:csb1="00000000"/>
  </w:font>
  <w:font w:name="仿宋">
    <w:altName w:val="宋体"/>
    <w:charset w:val="86"/>
    <w:family w:val="modern"/>
    <w:pitch w:val="default"/>
    <w:sig w:usb0="00000000"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765154"/>
    <w:multiLevelType w:val="singleLevel"/>
    <w:tmpl w:val="E8765154"/>
    <w:lvl w:ilvl="0">
      <w:start w:val="1"/>
      <w:numFmt w:val="decimal"/>
      <w:suff w:val="nothing"/>
      <w:lvlText w:val="%1．"/>
      <w:lvlJc w:val="left"/>
    </w:lvl>
  </w:abstractNum>
  <w:abstractNum w:abstractNumId="1">
    <w:nsid w:val="5A496B3E"/>
    <w:multiLevelType w:val="multilevel"/>
    <w:tmpl w:val="5A496B3E"/>
    <w:lvl w:ilvl="0">
      <w:start w:val="1"/>
      <w:numFmt w:val="japaneseCounting"/>
      <w:lvlText w:val="（%1）"/>
      <w:lvlJc w:val="left"/>
      <w:pPr>
        <w:ind w:left="1720" w:hanging="108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abstractNum w:abstractNumId="2">
    <w:nsid w:val="7951654F"/>
    <w:multiLevelType w:val="multilevel"/>
    <w:tmpl w:val="7951654F"/>
    <w:lvl w:ilvl="0">
      <w:start w:val="1"/>
      <w:numFmt w:val="japaneseCounting"/>
      <w:lvlText w:val="%1、"/>
      <w:lvlJc w:val="left"/>
      <w:pPr>
        <w:ind w:left="1360" w:hanging="720"/>
      </w:pPr>
      <w:rPr>
        <w:rFonts w:ascii="Times New Roman" w:hAnsi="Times New Roman" w:cs="Times New Roman" w:hint="default"/>
      </w:rPr>
    </w:lvl>
    <w:lvl w:ilvl="1">
      <w:start w:val="1"/>
      <w:numFmt w:val="lowerLetter"/>
      <w:lvlText w:val="%2)"/>
      <w:lvlJc w:val="left"/>
      <w:pPr>
        <w:ind w:left="1480" w:hanging="420"/>
      </w:pPr>
      <w:rPr>
        <w:rFonts w:ascii="Times New Roman" w:hAnsi="Times New Roman" w:cs="Times New Roman" w:hint="default"/>
      </w:rPr>
    </w:lvl>
    <w:lvl w:ilvl="2">
      <w:start w:val="1"/>
      <w:numFmt w:val="lowerRoman"/>
      <w:lvlText w:val="%3."/>
      <w:lvlJc w:val="right"/>
      <w:pPr>
        <w:ind w:left="1900" w:hanging="420"/>
      </w:pPr>
      <w:rPr>
        <w:rFonts w:ascii="Times New Roman" w:hAnsi="Times New Roman" w:cs="Times New Roman" w:hint="default"/>
      </w:rPr>
    </w:lvl>
    <w:lvl w:ilvl="3">
      <w:start w:val="1"/>
      <w:numFmt w:val="decimal"/>
      <w:lvlText w:val="%4."/>
      <w:lvlJc w:val="left"/>
      <w:pPr>
        <w:ind w:left="2320" w:hanging="420"/>
      </w:pPr>
      <w:rPr>
        <w:rFonts w:ascii="Times New Roman" w:hAnsi="Times New Roman" w:cs="Times New Roman" w:hint="default"/>
      </w:rPr>
    </w:lvl>
    <w:lvl w:ilvl="4">
      <w:start w:val="1"/>
      <w:numFmt w:val="lowerLetter"/>
      <w:lvlText w:val="%5)"/>
      <w:lvlJc w:val="left"/>
      <w:pPr>
        <w:ind w:left="2740" w:hanging="420"/>
      </w:pPr>
      <w:rPr>
        <w:rFonts w:ascii="Times New Roman" w:hAnsi="Times New Roman" w:cs="Times New Roman" w:hint="default"/>
      </w:rPr>
    </w:lvl>
    <w:lvl w:ilvl="5">
      <w:start w:val="1"/>
      <w:numFmt w:val="lowerRoman"/>
      <w:lvlText w:val="%6."/>
      <w:lvlJc w:val="right"/>
      <w:pPr>
        <w:ind w:left="3160" w:hanging="420"/>
      </w:pPr>
      <w:rPr>
        <w:rFonts w:ascii="Times New Roman" w:hAnsi="Times New Roman" w:cs="Times New Roman" w:hint="default"/>
      </w:rPr>
    </w:lvl>
    <w:lvl w:ilvl="6">
      <w:start w:val="1"/>
      <w:numFmt w:val="decimal"/>
      <w:lvlText w:val="%7."/>
      <w:lvlJc w:val="left"/>
      <w:pPr>
        <w:ind w:left="3580" w:hanging="420"/>
      </w:pPr>
      <w:rPr>
        <w:rFonts w:ascii="Times New Roman" w:hAnsi="Times New Roman" w:cs="Times New Roman" w:hint="default"/>
      </w:rPr>
    </w:lvl>
    <w:lvl w:ilvl="7">
      <w:start w:val="1"/>
      <w:numFmt w:val="lowerLetter"/>
      <w:lvlText w:val="%8)"/>
      <w:lvlJc w:val="left"/>
      <w:pPr>
        <w:ind w:left="4000" w:hanging="420"/>
      </w:pPr>
      <w:rPr>
        <w:rFonts w:ascii="Times New Roman" w:hAnsi="Times New Roman" w:cs="Times New Roman" w:hint="default"/>
      </w:rPr>
    </w:lvl>
    <w:lvl w:ilvl="8">
      <w:start w:val="1"/>
      <w:numFmt w:val="lowerRoman"/>
      <w:lvlText w:val="%9."/>
      <w:lvlJc w:val="right"/>
      <w:pPr>
        <w:ind w:left="4420" w:hanging="420"/>
      </w:pPr>
      <w:rPr>
        <w:rFonts w:ascii="Times New Roman" w:hAnsi="Times New Roman" w:cs="Times New Roman"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76607CCE"/>
    <w:rsid w:val="001377F4"/>
    <w:rsid w:val="0049141B"/>
    <w:rsid w:val="006C1005"/>
    <w:rsid w:val="00715D9A"/>
    <w:rsid w:val="00882830"/>
    <w:rsid w:val="76607CC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715D9A"/>
    <w:pPr>
      <w:widowControl w:val="0"/>
      <w:jc w:val="both"/>
    </w:pPr>
    <w:rPr>
      <w:rFonts w:ascii="Times New Roman" w:eastAsia="仿宋_GB2312" w:hAnsi="Times New Roman" w:cs="Times New Roman"/>
      <w:kern w:val="2"/>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uiPriority w:val="99"/>
    <w:unhideWhenUsed/>
    <w:qFormat/>
    <w:rsid w:val="00715D9A"/>
    <w:pPr>
      <w:ind w:left="111"/>
    </w:pPr>
    <w:rPr>
      <w:rFonts w:ascii="Calibri" w:eastAsia="Calibri" w:hAnsi="Calibri" w:cs="Calibri"/>
      <w:color w:val="000000"/>
      <w:sz w:val="36"/>
      <w:szCs w:val="36"/>
    </w:rPr>
  </w:style>
  <w:style w:type="paragraph" w:styleId="a4">
    <w:name w:val="Normal (Web)"/>
    <w:basedOn w:val="a"/>
    <w:qFormat/>
    <w:rsid w:val="00715D9A"/>
    <w:pPr>
      <w:widowControl/>
      <w:spacing w:before="100" w:beforeAutospacing="1" w:after="100" w:afterAutospacing="1"/>
      <w:jc w:val="left"/>
    </w:pPr>
    <w:rPr>
      <w:rFonts w:ascii="宋体" w:eastAsia="宋体" w:hAnsi="宋体" w:cs="宋体"/>
      <w:kern w:val="0"/>
      <w:sz w:val="24"/>
      <w:szCs w:val="24"/>
    </w:rPr>
  </w:style>
  <w:style w:type="paragraph" w:customStyle="1" w:styleId="1">
    <w:name w:val="列出段落1"/>
    <w:basedOn w:val="a"/>
    <w:qFormat/>
    <w:rsid w:val="00715D9A"/>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2318</Words>
  <Characters>147</Characters>
  <Application>Microsoft Office Word</Application>
  <DocSecurity>0</DocSecurity>
  <Lines>1</Lines>
  <Paragraphs>4</Paragraphs>
  <ScaleCrop>false</ScaleCrop>
  <Company/>
  <LinksUpToDate>false</LinksUpToDate>
  <CharactersWithSpaces>2461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Hunk</dc:creator>
  <cp:lastModifiedBy>Administrator</cp:lastModifiedBy>
  <cp:revision>4</cp:revision>
  <dcterms:created xsi:type="dcterms:W3CDTF">2021-07-03T15:30:00Z</dcterms:created>
  <dcterms:modified xsi:type="dcterms:W3CDTF">2021-07-06T06:24:00Z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57D15F5BA4F04666BAB3A8528A91F625</vt:lpwstr>
  </property>
</Properties>
</file>