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right="0"/>
        <w:jc w:val="center"/>
        <w:textAlignment w:val="auto"/>
        <w:rPr>
          <w:rFonts w:hint="eastAsia" w:ascii="黑体" w:hAnsi="黑体" w:eastAsia="黑体" w:cs="黑体"/>
          <w:b w:val="0"/>
          <w:bCs w:val="0"/>
          <w:kern w:val="2"/>
          <w:sz w:val="44"/>
          <w:szCs w:val="44"/>
          <w:lang w:val="en-US" w:eastAsia="zh-CN" w:bidi="ar-SA"/>
        </w:rPr>
      </w:pPr>
      <w:r>
        <w:rPr>
          <w:rFonts w:hint="default" w:ascii="黑体" w:hAnsi="黑体" w:eastAsia="黑体" w:cs="黑体"/>
          <w:b w:val="0"/>
          <w:bCs w:val="0"/>
          <w:kern w:val="2"/>
          <w:sz w:val="44"/>
          <w:szCs w:val="44"/>
          <w:lang w:val="en-US" w:eastAsia="zh-CN" w:bidi="ar-SA"/>
        </w:rPr>
        <w:t>2020年开福区洪山街道办事处部门决算</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color w:val="666666"/>
          <w:sz w:val="21"/>
          <w:szCs w:val="21"/>
        </w:rPr>
      </w:pPr>
      <w:r>
        <w:rPr>
          <w:rFonts w:ascii="Times New Roman" w:hAnsi="Times New Roman" w:eastAsia="黑体" w:cs="Times New Roman"/>
          <w:bCs/>
          <w:kern w:val="0"/>
          <w:sz w:val="32"/>
          <w:szCs w:val="32"/>
        </w:rPr>
        <w:t>目 录</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第一部分 长沙市开福区洪山街道部门概况</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九、</w:t>
      </w:r>
      <w:r>
        <w:rPr>
          <w:rFonts w:hint="eastAsia" w:ascii="仿宋" w:hAnsi="仿宋" w:eastAsia="仿宋" w:cs="仿宋"/>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仿宋" w:hAnsi="仿宋" w:eastAsia="仿宋" w:cs="仿宋"/>
          <w:color w:val="auto"/>
          <w:kern w:val="2"/>
          <w:sz w:val="32"/>
          <w:szCs w:val="32"/>
          <w:lang w:val="en-US" w:eastAsia="zh-CN" w:bidi="ar-SA"/>
        </w:rPr>
      </w:pPr>
      <w:r>
        <w:rPr>
          <w:rFonts w:hint="eastAsia" w:ascii="黑体" w:hAnsi="黑体" w:eastAsia="黑体" w:cs="黑体"/>
          <w:b/>
          <w:bCs/>
          <w:kern w:val="0"/>
          <w:sz w:val="32"/>
          <w:szCs w:val="32"/>
        </w:rPr>
        <w:t>第五部分 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883" w:firstLineChars="200"/>
        <w:jc w:val="center"/>
        <w:textAlignment w:val="auto"/>
        <w:rPr>
          <w:rFonts w:hint="default" w:ascii="仿宋" w:hAnsi="仿宋" w:eastAsia="仿宋" w:cs="仿宋"/>
          <w:color w:val="auto"/>
          <w:kern w:val="2"/>
          <w:sz w:val="32"/>
          <w:szCs w:val="32"/>
          <w:lang w:val="en-US" w:eastAsia="zh-CN" w:bidi="ar-SA"/>
        </w:rPr>
      </w:pPr>
      <w:r>
        <w:rPr>
          <w:rFonts w:hint="eastAsia" w:ascii="黑体" w:hAnsi="黑体" w:eastAsia="黑体" w:cs="黑体"/>
          <w:b/>
          <w:bCs w:val="0"/>
          <w:kern w:val="0"/>
          <w:sz w:val="44"/>
          <w:szCs w:val="44"/>
          <w:lang w:val="en-US" w:eastAsia="zh-CN" w:bidi="ar-SA"/>
        </w:rPr>
        <w:t>第一部分 长沙市开福区洪山街道办事处部门概况</w:t>
      </w:r>
      <w:r>
        <w:rPr>
          <w:rFonts w:hint="default" w:ascii="仿宋" w:hAnsi="仿宋" w:eastAsia="仿宋" w:cs="仿宋"/>
          <w:color w:val="auto"/>
          <w:kern w:val="2"/>
          <w:sz w:val="32"/>
          <w:szCs w:val="32"/>
          <w:lang w:val="en-US" w:eastAsia="zh-CN" w:bidi="ar-SA"/>
        </w:rPr>
        <w:t>  </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color w:val="auto"/>
          <w:kern w:val="2"/>
          <w:sz w:val="32"/>
          <w:szCs w:val="32"/>
          <w:lang w:val="en-US" w:eastAsia="zh-CN" w:bidi="ar-SA"/>
        </w:rPr>
      </w:pPr>
      <w:r>
        <w:rPr>
          <w:rFonts w:hint="eastAsia" w:ascii="黑体" w:hAnsi="黑体" w:eastAsia="黑体" w:cs="黑体"/>
          <w:b w:val="0"/>
          <w:bCs/>
          <w:kern w:val="0"/>
          <w:sz w:val="32"/>
          <w:szCs w:val="32"/>
          <w:lang w:val="en-US" w:eastAsia="zh-CN"/>
        </w:rPr>
        <w:t>一、部门职责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洪山街道办事处作为区人民政府的派出机构，受区人民政府领导，依据法律、法规的规定，在本辖区内行使相应的政府管理职能。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（一）在街道党工委的统一领导下，行使区人民政府赋予的权力，负责本辖区的行政管理工作。 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（二）宣传和执行党的路线、方针、政策和国家的法律、法规，开展多种形式的社会主义精神文明建设活动。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（三）依法参与城区建设和管理、市容环境卫生管理、绿化美化、环境保护、城市防灾、森林防火等工作。 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（四）加强社会治安综合治理，做好外来人口管理、青少年教育和武装工作，维护社会安定团结。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（五）积极发展社区服务业，发展多元性的街道经济，不断壮大街道经济实力</w:t>
      </w:r>
      <w:r>
        <w:rPr>
          <w:rFonts w:hint="eastAsia" w:ascii="仿宋" w:hAnsi="仿宋" w:eastAsia="仿宋" w:cs="仿宋"/>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（六）落实人口政策，加强流动人口的管理工作，搞好群众卫生健康工作。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（七）做好社区教育、文化、体育活动的组织指导、协调工作。 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（八）做好拥军优属和社会救济等基层社会保障工作，维护老人、妇女、儿童和残疾人的合法权益。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（九）协助做好侨台事务、离退休人员管理等工作</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（十）指导社区居委会工作，扶持居办经济实体，帮助社区居委会解决实际困难，及时向政府反映居民的意见和要求，处理群众来信来访。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（十一）承办上级交办的其它工作。</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color w:val="auto"/>
          <w:kern w:val="2"/>
          <w:sz w:val="32"/>
          <w:szCs w:val="32"/>
          <w:lang w:val="en-US" w:eastAsia="zh-CN" w:bidi="ar-SA"/>
        </w:rPr>
      </w:pPr>
      <w:r>
        <w:rPr>
          <w:rFonts w:hint="eastAsia" w:ascii="黑体" w:hAnsi="黑体" w:eastAsia="黑体" w:cs="黑体"/>
          <w:b w:val="0"/>
          <w:bCs/>
          <w:kern w:val="0"/>
          <w:sz w:val="32"/>
          <w:szCs w:val="32"/>
        </w:rPr>
        <w:t>二、机构设置及决算单位构成</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（一）内设机构设置。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洪山街道内设机构包括：党政综合办公室、基层党建办公室、城市管理办公室、公共服务办公室、公共安全办公室、财政所、综合行政执法队、街道政务服务中心、街道网格化综合服务中心。 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党政综合办：意识形态、机关党务及行政事务、宣传、网络安全、辖区精神文明建设、机关文电、机要保密、史志档案、信息、会务、督查督办、党务政务公开、12345市民热线等平台协调性工作、机关后勤、国有资产管理、政府采购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基层党建办：社区提质提档、纪检（监察）、政协联络、党的建设、组织人事、工资福利、编制、绩效考核、统一战线、民族宗教、侨联、五零社区创建、工会、妇联、共青团、老干、关协、机关干部队伍建设等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城市管理办：文明创建、城市建设、物业管理、自然资源管理、规划建设、征收拆迁安置、城市管理、市容环境、生态环境保护、农林水务（河长制）、防汛抗旱、城市人居环境改造、数字化城市管理、12345市民热线、综合执法、市政、园林、交通等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公共服务办：社会经济调查统计、优化区域发展环境、产业发展、两型社会建设、商业网点建设管理、财源培植、税收协助、财源建设、科技、金融证券、工业与信息化、能源、电力、工商联、住房保障等工作、人力资源和社会保障、民政、社会救助、残联、教育、文化、旅游、体育、卫生健康、医疗保障、计生协会、红十字会、退役军人服务、行政审批事项组织实施、指导基层自治、指导政务服务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公共安全办：网络化管理服务、人大、社会治安综合治理、信访维稳及遗留问题处置、司法、防范邪教、禁毒、消防、人民武装、人民防空、安全生产、应急管理、市场监管。  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财政所：预算管理、财务绩效评价、债务管理、财务管理、会计核算、社区财务代理。  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综合行政执法队：负责统筹协调派驻机构基层执法力量，开展联合执法工作。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街道政务服务中心：负责网格化综合管理、数字化城市管理、12345市民热线等平台事务性、辅助性工作，负责线上、线下的巡查、指挥、调度和督办等工作，负责为各个平台运转提供技术支撑。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街道网格化综合服务中心。负责网格化综合管理、数字化城市管理、12345市民热线等平台事务性、辅助性工作，负责线上、线下的巡查、指挥、调度和督办等工作，负责为各个平台运转提供技术支撑。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(二)决算单位构成。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洪山街道2020年部门决算汇总公开单位构成包括：洪山街道单位本级，无二级预算单位。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p>
    <w:p>
      <w:pPr>
        <w:pStyle w:val="10"/>
        <w:keepNext w:val="0"/>
        <w:keepLines w:val="0"/>
        <w:pageBreakBefore w:val="0"/>
        <w:numPr>
          <w:ilvl w:val="0"/>
          <w:numId w:val="1"/>
        </w:numPr>
        <w:kinsoku/>
        <w:wordWrap/>
        <w:overflowPunct/>
        <w:topLinePunct w:val="0"/>
        <w:bidi w:val="0"/>
        <w:snapToGrid/>
        <w:spacing w:line="600" w:lineRule="exact"/>
        <w:ind w:firstLine="883" w:firstLineChars="200"/>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部门决算表</w:t>
      </w:r>
    </w:p>
    <w:p>
      <w:pPr>
        <w:pStyle w:val="10"/>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详见附件</w:t>
      </w:r>
      <w:r>
        <w:rPr>
          <w:rFonts w:hint="eastAsia" w:ascii="仿宋" w:hAnsi="仿宋" w:eastAsia="仿宋" w:cs="仿宋"/>
          <w:b/>
          <w:bCs/>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883" w:firstLineChars="200"/>
        <w:jc w:val="center"/>
        <w:textAlignment w:val="auto"/>
        <w:rPr>
          <w:rFonts w:hint="default" w:ascii="黑体" w:hAnsi="黑体" w:eastAsia="黑体" w:cs="黑体"/>
          <w:b/>
          <w:bCs w:val="0"/>
          <w:kern w:val="0"/>
          <w:sz w:val="44"/>
          <w:szCs w:val="44"/>
          <w:lang w:val="en-US" w:eastAsia="zh-CN" w:bidi="ar-SA"/>
        </w:rPr>
      </w:pPr>
      <w:r>
        <w:rPr>
          <w:rFonts w:hint="default" w:ascii="黑体" w:hAnsi="黑体" w:eastAsia="黑体" w:cs="黑体"/>
          <w:b/>
          <w:bCs w:val="0"/>
          <w:kern w:val="0"/>
          <w:sz w:val="44"/>
          <w:szCs w:val="44"/>
          <w:lang w:val="en-US" w:eastAsia="zh-CN" w:bidi="ar-SA"/>
        </w:rPr>
        <w:t>2020年度部门决算情况说明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黑体" w:hAnsi="黑体" w:eastAsia="黑体" w:cs="Times New Roman"/>
          <w:color w:val="auto"/>
          <w:kern w:val="0"/>
          <w:sz w:val="32"/>
          <w:szCs w:val="32"/>
          <w:lang w:val="en-US" w:eastAsia="zh-CN" w:bidi="ar-SA"/>
        </w:rPr>
        <w:t>一、收入支出决算总体情况说明</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2020年度收、支总计</w:t>
      </w:r>
      <w:r>
        <w:rPr>
          <w:rFonts w:hint="eastAsia" w:ascii="仿宋" w:hAnsi="仿宋" w:eastAsia="仿宋" w:cs="仿宋"/>
          <w:color w:val="auto"/>
          <w:kern w:val="2"/>
          <w:sz w:val="32"/>
          <w:szCs w:val="32"/>
          <w:lang w:val="en-US" w:eastAsia="zh-CN" w:bidi="ar-SA"/>
        </w:rPr>
        <w:t>各</w:t>
      </w:r>
      <w:r>
        <w:rPr>
          <w:rFonts w:hint="default" w:ascii="仿宋" w:hAnsi="仿宋" w:eastAsia="仿宋" w:cs="仿宋"/>
          <w:color w:val="auto"/>
          <w:kern w:val="2"/>
          <w:sz w:val="32"/>
          <w:szCs w:val="32"/>
          <w:lang w:val="en-US" w:eastAsia="zh-CN" w:bidi="ar-SA"/>
        </w:rPr>
        <w:t>4164.82万元。与2019年相比，</w:t>
      </w:r>
      <w:r>
        <w:rPr>
          <w:rFonts w:hint="eastAsia" w:ascii="仿宋" w:hAnsi="仿宋" w:eastAsia="仿宋" w:cs="仿宋"/>
          <w:color w:val="auto"/>
          <w:kern w:val="2"/>
          <w:sz w:val="32"/>
          <w:szCs w:val="32"/>
          <w:lang w:val="en-US" w:eastAsia="zh-CN" w:bidi="ar-SA"/>
        </w:rPr>
        <w:t>各</w:t>
      </w:r>
      <w:r>
        <w:rPr>
          <w:rFonts w:hint="default" w:ascii="仿宋" w:hAnsi="仿宋" w:eastAsia="仿宋" w:cs="仿宋"/>
          <w:color w:val="auto"/>
          <w:kern w:val="2"/>
          <w:sz w:val="32"/>
          <w:szCs w:val="32"/>
          <w:lang w:val="en-US" w:eastAsia="zh-CN" w:bidi="ar-SA"/>
        </w:rPr>
        <w:t>减少9</w:t>
      </w:r>
      <w:r>
        <w:rPr>
          <w:rFonts w:hint="eastAsia" w:ascii="仿宋" w:hAnsi="仿宋" w:eastAsia="仿宋" w:cs="仿宋"/>
          <w:color w:val="auto"/>
          <w:kern w:val="2"/>
          <w:sz w:val="32"/>
          <w:szCs w:val="32"/>
          <w:lang w:val="en-US" w:eastAsia="zh-CN" w:bidi="ar-SA"/>
        </w:rPr>
        <w:t>1.14</w:t>
      </w:r>
      <w:r>
        <w:rPr>
          <w:rFonts w:hint="default" w:ascii="仿宋" w:hAnsi="仿宋" w:eastAsia="仿宋" w:cs="仿宋"/>
          <w:color w:val="auto"/>
          <w:kern w:val="2"/>
          <w:sz w:val="32"/>
          <w:szCs w:val="32"/>
          <w:lang w:val="en-US" w:eastAsia="zh-CN" w:bidi="ar-SA"/>
        </w:rPr>
        <w:t>万元，减少2.14%，主要是因为区直部门投入的专项资金减少。  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黑体" w:hAnsi="黑体" w:eastAsia="黑体" w:cs="Times New Roman"/>
          <w:color w:val="auto"/>
          <w:kern w:val="0"/>
          <w:sz w:val="32"/>
          <w:szCs w:val="32"/>
          <w:lang w:val="en-US" w:eastAsia="zh-CN" w:bidi="ar-SA"/>
        </w:rPr>
        <w:t>二、收入决算情况说明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本年收入合计3875.47万元，其中：财政拨款收入3585.12万元，占92.5</w:t>
      </w:r>
      <w:r>
        <w:rPr>
          <w:rFonts w:hint="eastAsia" w:ascii="仿宋" w:hAnsi="仿宋" w:eastAsia="仿宋" w:cs="仿宋"/>
          <w:color w:val="auto"/>
          <w:kern w:val="2"/>
          <w:sz w:val="32"/>
          <w:szCs w:val="32"/>
          <w:lang w:val="en-US" w:eastAsia="zh-CN" w:bidi="ar-SA"/>
        </w:rPr>
        <w:t>1</w:t>
      </w:r>
      <w:r>
        <w:rPr>
          <w:rFonts w:hint="default" w:ascii="仿宋" w:hAnsi="仿宋" w:eastAsia="仿宋" w:cs="仿宋"/>
          <w:color w:val="auto"/>
          <w:kern w:val="2"/>
          <w:sz w:val="32"/>
          <w:szCs w:val="32"/>
          <w:lang w:val="en-US" w:eastAsia="zh-CN" w:bidi="ar-SA"/>
        </w:rPr>
        <w:t>%；上级补助收入0万元，占0%；事业收入0万元，占0%；经营收入0万元，占0%；附属单位上缴收入0万元，占0%；其他收入290.36万元，占7.</w:t>
      </w:r>
      <w:r>
        <w:rPr>
          <w:rFonts w:hint="eastAsia" w:ascii="仿宋" w:hAnsi="仿宋" w:eastAsia="仿宋" w:cs="仿宋"/>
          <w:color w:val="auto"/>
          <w:kern w:val="2"/>
          <w:sz w:val="32"/>
          <w:szCs w:val="32"/>
          <w:lang w:val="en-US" w:eastAsia="zh-CN" w:bidi="ar-SA"/>
        </w:rPr>
        <w:t>49</w:t>
      </w:r>
      <w:r>
        <w:rPr>
          <w:rFonts w:hint="default"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黑体" w:hAnsi="黑体" w:eastAsia="黑体" w:cs="Times New Roman"/>
          <w:color w:val="auto"/>
          <w:kern w:val="0"/>
          <w:sz w:val="32"/>
          <w:szCs w:val="32"/>
          <w:lang w:val="en-US" w:eastAsia="zh-CN" w:bidi="ar-SA"/>
        </w:rPr>
        <w:t>三、支出决算情况说明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本年支出合计3824.98万元，其中：基本支出1815.37万元，占47.46%；项目支出2009.61万元，占52.54%；上缴上级支出0万元，占0%；经营支出0万元，占0%；对附属单位补助支出0万元，占0%。</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黑体" w:hAnsi="黑体" w:eastAsia="黑体" w:cs="Times New Roman"/>
          <w:color w:val="auto"/>
          <w:kern w:val="0"/>
          <w:sz w:val="32"/>
          <w:szCs w:val="32"/>
          <w:lang w:val="en-US" w:eastAsia="zh-CN" w:bidi="ar-SA"/>
        </w:rPr>
        <w:t>四、财政拨款收入支出决算总体情况说明</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2020年度财政拨款收入总计3874.47万元，与2019年相比，减少36.06万元，减少0.92%，主要是因为公用经费和专项经费减少。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2020年财政拨款支出总计3874.47万元，与2019年相比，减少36.06万元，减少0.92%，主要是因为公用经费和专项经费减少。 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黑体" w:hAnsi="黑体" w:eastAsia="黑体" w:cs="Times New Roman"/>
          <w:color w:val="auto"/>
          <w:kern w:val="0"/>
          <w:sz w:val="32"/>
          <w:szCs w:val="32"/>
          <w:lang w:val="en-US" w:eastAsia="zh-CN" w:bidi="ar-SA"/>
        </w:rPr>
        <w:t>五、一般公共预算财政拨款支出决算情况说明</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（一）财政拨款支出决算总体情况</w:t>
      </w:r>
      <w:r>
        <w:rPr>
          <w:rFonts w:hint="default" w:ascii="仿宋" w:hAnsi="仿宋" w:eastAsia="仿宋" w:cs="仿宋"/>
          <w:b/>
          <w:bCs/>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2020年度财政拨款支出3534.62万元，占本年支出合计的92.4</w:t>
      </w:r>
      <w:r>
        <w:rPr>
          <w:rFonts w:hint="eastAsia" w:ascii="仿宋" w:hAnsi="仿宋" w:eastAsia="仿宋" w:cs="仿宋"/>
          <w:color w:val="auto"/>
          <w:kern w:val="2"/>
          <w:sz w:val="32"/>
          <w:szCs w:val="32"/>
          <w:lang w:val="en-US" w:eastAsia="zh-CN" w:bidi="ar-SA"/>
        </w:rPr>
        <w:t>1</w:t>
      </w:r>
      <w:r>
        <w:rPr>
          <w:rFonts w:hint="default" w:ascii="仿宋" w:hAnsi="仿宋" w:eastAsia="仿宋" w:cs="仿宋"/>
          <w:color w:val="auto"/>
          <w:kern w:val="2"/>
          <w:sz w:val="32"/>
          <w:szCs w:val="32"/>
          <w:lang w:val="en-US" w:eastAsia="zh-CN" w:bidi="ar-SA"/>
        </w:rPr>
        <w:t>%，与2019年相比，财政拨款支出减少62.13万元，减少1.73%，主要是因为项目经费的减少。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（二）财政拨款支出决算结构情况</w:t>
      </w:r>
      <w:r>
        <w:rPr>
          <w:rFonts w:hint="default" w:ascii="仿宋" w:hAnsi="仿宋" w:eastAsia="仿宋" w:cs="仿宋"/>
          <w:b/>
          <w:bCs/>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2020年度财政拨款支出3534.62万元，主要用于以下方面：一般公共服务支出（类）2346.17万元，占66.</w:t>
      </w:r>
      <w:r>
        <w:rPr>
          <w:rFonts w:hint="eastAsia" w:ascii="仿宋" w:hAnsi="仿宋" w:eastAsia="仿宋" w:cs="仿宋"/>
          <w:color w:val="auto"/>
          <w:kern w:val="2"/>
          <w:sz w:val="32"/>
          <w:szCs w:val="32"/>
          <w:lang w:val="en-US" w:eastAsia="zh-CN" w:bidi="ar-SA"/>
        </w:rPr>
        <w:t>3</w:t>
      </w:r>
      <w:r>
        <w:rPr>
          <w:rFonts w:hint="default" w:ascii="仿宋" w:hAnsi="仿宋" w:eastAsia="仿宋" w:cs="仿宋"/>
          <w:color w:val="auto"/>
          <w:kern w:val="2"/>
          <w:sz w:val="32"/>
          <w:szCs w:val="32"/>
          <w:lang w:val="en-US" w:eastAsia="zh-CN" w:bidi="ar-SA"/>
        </w:rPr>
        <w:t>7</w:t>
      </w:r>
      <w:r>
        <w:rPr>
          <w:rFonts w:hint="default" w:ascii="仿宋" w:hAnsi="仿宋" w:eastAsia="仿宋" w:cs="仿宋"/>
          <w:color w:val="auto"/>
          <w:kern w:val="2"/>
          <w:sz w:val="32"/>
          <w:szCs w:val="32"/>
          <w:lang w:val="en-US" w:eastAsia="zh-CN" w:bidi="ar-SA"/>
        </w:rPr>
        <w:t>%；公共安全支出（类）20.87万元，占0.59%；文化旅体育与传媒支出（类）2.5万元，占0.07%；社会保障和就业支出（类）691.87万元，占19.57%；卫生健康支出（类）38.58万元，占1.09%；节能环保支出（类）6万元，占0.17%；城乡社区支出（类）317.26万元，占8.98%；农林水支出（类）13万元，占0.37%；住房保障支出（类）87.13万元，占2.47%；灾害防治及应急管理支出（类）11.25万元，占0.32%。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（三）财政拨款支出决算具体情况</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2020年度财政拨款支出年初预算数为2940万元，支出决算数为3534.62万元，完成年初预算的120.23%</w:t>
      </w:r>
      <w:r>
        <w:rPr>
          <w:rFonts w:hint="eastAsia" w:ascii="仿宋" w:hAnsi="仿宋" w:eastAsia="仿宋" w:cs="仿宋"/>
          <w:color w:val="auto"/>
          <w:kern w:val="2"/>
          <w:sz w:val="32"/>
          <w:szCs w:val="32"/>
          <w:lang w:val="en-US" w:eastAsia="zh-CN" w:bidi="ar-SA"/>
        </w:rPr>
        <w:t>。其中：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1、一般公共服务（类）政府办公厅及相关机构事务（款）行政运行（项）。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1403.35万元，支出决算为1659.14万元，完成年初预算的118.23%，决算数大于年初预算数的主要原因是：年初预算仅将在职在编的工资福利及公用经费的开支放在该功能科目下核算，本年实际该功能科目还包括其他人员的工资福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2、一般公共服务（类）政府办公厅及相关机构事务（款）一般行政管理事务（项）。  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1415.52万元，支出决算为653.97万元，完成年初预算的46.20%，决算数小于年初预算数的主要原因是：该功能科目预算部分支出实际在一般公共服务（类）政府办公厅及相关机构事务（款）行政运行（项）中列支，如部分临聘人员的工资。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3、一般公共服务（类）统计信息事务（款）专项普查活动(项）</w:t>
      </w:r>
      <w:r>
        <w:rPr>
          <w:rFonts w:hint="eastAsia" w:ascii="仿宋" w:hAnsi="仿宋" w:eastAsia="仿宋" w:cs="仿宋"/>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年初预算数0万元，支出决算数16.75万元，决算数大于预算数的主要原因是：年初未对该功能科目下的专项资金进行预算，决算数为体制财力预算追加及该功能上年结转的资金</w:t>
      </w:r>
      <w:r>
        <w:rPr>
          <w:rFonts w:hint="eastAsia" w:ascii="仿宋" w:hAnsi="仿宋" w:eastAsia="仿宋" w:cs="仿宋"/>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4、一般公共服务（类）纪检监察事务（款）一般行政管理事务（项）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年初预算数0万元，支出决算数2万元，决算数大于年初预算数的主要原因是：年初未对该功能科目下的专项资金进行预算，决算数为体制财力预算追加及该功能上年结转的资金。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5、一般公共服务（类）组织事务（款）一般行政管理事务（项）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年初预算数0万元，支出决算数11.51万元，决算数大于年初预算数的主要原因是：年初未对该功能科目下的专项资金进行预算，决算数为体制财力预算追加及该功能上年结转的资金。 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6、一般公共服务（类）宣传事务（款）一般行政管理事务(项）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年初预算数0万元，支出决算数0.5万元，决算数大于年初预算数的主要原因是：年初未对该功能科目下的专项资金进行预算，决算数为体制财力预算追加及该功能上年结转的资金</w:t>
      </w:r>
      <w:r>
        <w:rPr>
          <w:rFonts w:hint="eastAsia" w:ascii="仿宋" w:hAnsi="仿宋" w:eastAsia="仿宋" w:cs="仿宋"/>
          <w:color w:val="auto"/>
          <w:kern w:val="2"/>
          <w:sz w:val="32"/>
          <w:szCs w:val="32"/>
          <w:lang w:val="en-US" w:eastAsia="zh-CN" w:bidi="ar-SA"/>
        </w:rPr>
        <w:t>。</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一般公共服务（类）市场监管事务（款）一般行政管理事务(项）</w:t>
      </w:r>
      <w:r>
        <w:rPr>
          <w:rFonts w:hint="eastAsia" w:ascii="仿宋" w:hAnsi="仿宋" w:eastAsia="仿宋" w:cs="仿宋"/>
          <w:color w:val="auto"/>
          <w:kern w:val="2"/>
          <w:sz w:val="32"/>
          <w:szCs w:val="32"/>
          <w:lang w:val="en-US" w:eastAsia="zh-CN" w:bidi="ar-SA"/>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年初预算数0万元，支出决算数2.3万元，决算数大于年初预算数的主要原因是：年初未对该功能科目下的专项资金进行预算，决算数为体制财力预算追加及该功能上年结转的资金。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8、公共安全（类）武装警察部队（款）武装警察部队（项）</w:t>
      </w:r>
      <w:r>
        <w:rPr>
          <w:rFonts w:hint="eastAsia" w:ascii="仿宋" w:hAnsi="仿宋" w:eastAsia="仿宋" w:cs="仿宋"/>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年初预算数0万元，支出决算数20.87万元，决算数大于年初预算数的主要原因是：年初未对该功能科目下的专项资金进行预算，决算数为体制财力预算追加及该功能上年结转的资金。  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9、文化体育与传媒支出（类）文化和旅游（款）其他文化和旅游支出（项）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年初预算数0万元，支出决算数2.5万元，决算数大于年初预算数的主要原因是：年初未对该功能科目下的专项资金进行预算，决算数为体制财力预算追加及该功能上年结转的资金。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10、社会保障和就业支出（类）人力资源和社会保障管理事务（款）其他人力资源和社会保障管理事务（项）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年初预算数0万元，支出决算数81.72万元，决算数大于年初预算数的主要原因是：年初未对该功能科目下的专项资金进行预算，决算数为体制财力预算追加及该功能上年结转的资金。  </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社会保障和就业支出（类）民政管理事务（款）一般行政管理事务（项）</w:t>
      </w:r>
      <w:r>
        <w:rPr>
          <w:rFonts w:hint="eastAsia" w:ascii="仿宋" w:hAnsi="仿宋" w:eastAsia="仿宋" w:cs="仿宋"/>
          <w:color w:val="auto"/>
          <w:kern w:val="2"/>
          <w:sz w:val="32"/>
          <w:szCs w:val="32"/>
          <w:lang w:val="en-US" w:eastAsia="zh-CN" w:bidi="ar-SA"/>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年初预算数0万元，支出决算数13.92万元，决算数大于年初预算数的主要原因是：年初未对该功能科目下的专项资金进行预算，决算数为体制财力预算追加及该功能上年结转的资金。 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12、社会保障和就业支出（类）民政管理事务（款）基层政权和社区建设（项）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年初预算数0万元，支出决算数486万元，决算数大于年初预算数的主要原因是：年初未对该功能科目下的专项资金进行预算，决算数为体制财力预算追加及该功能上年结转的资金。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13、社会保障和就业支出（类）民政管理事务（款）其他民政管理事务支出（项）</w:t>
      </w:r>
      <w:r>
        <w:rPr>
          <w:rFonts w:hint="eastAsia" w:ascii="仿宋" w:hAnsi="仿宋" w:eastAsia="仿宋" w:cs="仿宋"/>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年初预算数0万元，支出决算数0.96万元，决算数大于年初预算数的主要原因是：年初未对该功能科目下的专项资金进行预算，决算数为体制财力预算追加及该功能上年结转的资金。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14、社会保障和就业支出（类）行政事业单位养老支出（款）行政单位离退休（项）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年初预算数23.2万元，支出决算数25.78万元，完成年初预算数111.12%，决算数大于年初数的主要原因是：退休人员的工资福利微调。  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15、社会保障和就业支出（类）就业补助（款）其他就业补助支出（项）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年初预算数0万元，支出决算数4.49万元，决算数大于年初预算数的主要原因是：年初未对该功能科目下的专项资金进行预算，决算数为体制财力预算追加及该功能上年结转的资金。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16、社会保障和就业支出（类）抚恤（款）其他优抚支出（项）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年初预算数0万元，支出决算数5.99万元，决算数大于年初预算数的主要原因是：年初未对该功能科目下的专项资金进行预算，决算数为体制财力预算追加及该功能上年结转的资金。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17、社会保障和就业支出（类）退役安置（款）其他退役安置支出（项）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年初预算数0万元，支出决算数15万元，决算数大于年初预算数的主要原因是：年初未对该功能科目下的专项资金进行预算，决算数为体制财力预算追加及该功能上年结转的资金。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18、社会保障和就业支出（类）社会福利（款）老年福利（项）</w:t>
      </w:r>
      <w:r>
        <w:rPr>
          <w:rFonts w:hint="eastAsia" w:ascii="仿宋" w:hAnsi="仿宋" w:eastAsia="仿宋" w:cs="仿宋"/>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年初预算数0万元，支出决算数30.66万元，决算数大于年初预算数的主要原因是：年初未对该功能科目下的专项资金进行预算，决算数为体制财力预算追加及该功能上年结转的资金</w:t>
      </w:r>
      <w:r>
        <w:rPr>
          <w:rFonts w:hint="eastAsia" w:ascii="仿宋" w:hAnsi="仿宋" w:eastAsia="仿宋" w:cs="仿宋"/>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19、社会保障和就业支出（类）临时救助（款）临时救助支出（项）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年初预算数0万元，支出决算数23.29万元，决算数大于年初预算数的主要原因是：年初未对该功能科目下的专项资金进行预算，决算数为体制财力预算追加及该功能上年结转的资金。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20、社会保障和就业支出（类）退役军人管理事务（款）拥军专属（项）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年初预算数0万元，支出决算数2.16万元，决算数大于年初预算数的主要原因是：年初未对该功能科目下的专项资金进行预算，决算数为体制财力预算追加及该功能上年结转的资金。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21、社会保障和就业支出（类）退役军人管理事务（款）其他退役军人管理支出（项）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年初预算数0万元，支出决算数1.91万元，决算数大于年初预算数的主要原因是：年初未对该功能科目下的专项资金进行预算，决算数为体制财力预算追加及该功能上年结转的资金。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22、卫生健康支出（类）卫生健康管理事务（款）一般行政管理事务（项）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年初预算数0万元，支出决算数2.96万元，决算数大于年初预算数的主要原因是：年初未对该功能科目下的专项资金进行预算，决算数为体制财力预算追加及该功能上年结转的资金。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w:t>
      </w:r>
      <w:r>
        <w:rPr>
          <w:rFonts w:hint="eastAsia" w:ascii="仿宋" w:hAnsi="仿宋" w:eastAsia="仿宋" w:cs="仿宋"/>
          <w:color w:val="auto"/>
          <w:kern w:val="2"/>
          <w:sz w:val="32"/>
          <w:szCs w:val="32"/>
          <w:lang w:val="en-US" w:eastAsia="zh-CN" w:bidi="ar-SA"/>
        </w:rPr>
        <w:t>3</w:t>
      </w:r>
      <w:r>
        <w:rPr>
          <w:rFonts w:hint="default" w:ascii="仿宋" w:hAnsi="仿宋" w:eastAsia="仿宋" w:cs="仿宋"/>
          <w:color w:val="auto"/>
          <w:kern w:val="2"/>
          <w:sz w:val="32"/>
          <w:szCs w:val="32"/>
          <w:lang w:val="en-US" w:eastAsia="zh-CN" w:bidi="ar-SA"/>
        </w:rPr>
        <w:t>、卫生健康支出（类）公共卫生（款）疾病预防控制机构（项）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年初预算数0万元，支出决算数18万元，决算数大于年初预算数的主要原因是：年初未对该功能科目下的专项资金进行预算，决算数为体制财力预算追加及该功能上年结转的资金。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w:t>
      </w:r>
      <w:r>
        <w:rPr>
          <w:rFonts w:hint="eastAsia" w:ascii="仿宋" w:hAnsi="仿宋" w:eastAsia="仿宋" w:cs="仿宋"/>
          <w:color w:val="auto"/>
          <w:kern w:val="2"/>
          <w:sz w:val="32"/>
          <w:szCs w:val="32"/>
          <w:lang w:val="en-US" w:eastAsia="zh-CN" w:bidi="ar-SA"/>
        </w:rPr>
        <w:t>4</w:t>
      </w:r>
      <w:r>
        <w:rPr>
          <w:rFonts w:hint="default" w:ascii="仿宋" w:hAnsi="仿宋" w:eastAsia="仿宋" w:cs="仿宋"/>
          <w:color w:val="auto"/>
          <w:kern w:val="2"/>
          <w:sz w:val="32"/>
          <w:szCs w:val="32"/>
          <w:lang w:val="en-US" w:eastAsia="zh-CN" w:bidi="ar-SA"/>
        </w:rPr>
        <w:t>、卫生健康支出（类）公共卫生（款）采供血机构（项）</w:t>
      </w:r>
      <w:r>
        <w:rPr>
          <w:rFonts w:hint="eastAsia" w:ascii="仿宋" w:hAnsi="仿宋" w:eastAsia="仿宋" w:cs="仿宋"/>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年初预算数0万元，支出决算数0.9元，决算数大于年初预算数的主要原因是：年初未对该功能科目下的专项资金进行预算，决算数为体制财力预算追加及该功能上年结转的资金。 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25、卫生健康支出（类）公共卫生（款）重大公共卫生专项（项）</w:t>
      </w:r>
      <w:r>
        <w:rPr>
          <w:rFonts w:hint="eastAsia" w:ascii="仿宋" w:hAnsi="仿宋" w:eastAsia="仿宋" w:cs="仿宋"/>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年初预算数0万元，支出决算数10万元，决算数大于年初预算数的主要原因是：年初未对该功能科目下的专项资金进行预算，决算数为体制财力预算追加及该功能上年结转的资金。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26、卫生健康支出（类）公共卫生（款）其他公共卫生专项（项）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年初预算数0万元，支出决算数0.5万元，决算数大于年初预算数的主要原因是：年初未对该功能科目下的专项资金进行预算，决算数为体制财力预算追加及该功能上年结转的资金。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27、卫生健康支出（类）计划生育事务（款）计划生育机构（项）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年初预算数0万元，支出决算数1万元，决算数大于年初预算数的主要原因是：年初未对该功能科目下的专项资金进行预算，决算数为体制财力预算追加及该功能上年结转的资金。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28、卫生健康支出（类）计划生育事务（款）计划生育服务（项）</w:t>
      </w:r>
      <w:r>
        <w:rPr>
          <w:rFonts w:hint="eastAsia" w:ascii="仿宋" w:hAnsi="仿宋" w:eastAsia="仿宋" w:cs="仿宋"/>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年初预算数0万元，支出决算数1.90万元，决算数大于年初预算数的主要原因是：年初未对该功能科目下的专项资金进行预算，决算数为体制财力预算追加及该功能上年结转的资金。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29、卫生健康支出（类）计划生育事务（款）其他计划生育服务（项）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年初预算数0万元，支出决算数3.07万元，决算数大于年初预算数的主要原因是：年初未对该功能科目下的专项资金进行预算，决算数为体制财力预算追加及该功能上年结转的资金。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30、卫生健康支出（类）优抚对象医疗（款）优抚对象医疗补助（项）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年初预算数0万元，支出决算数0.25万元，决算数大于年初预算数的主要原因是：年初未对该功能科目下的专项资金进行预算，决算数为体制财力预算追加及该功能上年结转的资金。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31、节能环保支出（类）环境保护管理事务（款）其他环境保护管理事务支出（项）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w:t>
      </w:r>
      <w:r>
        <w:rPr>
          <w:rFonts w:hint="eastAsia" w:ascii="仿宋" w:hAnsi="仿宋" w:eastAsia="仿宋" w:cs="仿宋"/>
          <w:color w:val="auto"/>
          <w:kern w:val="2"/>
          <w:sz w:val="32"/>
          <w:szCs w:val="32"/>
          <w:lang w:val="en-US" w:eastAsia="zh-CN" w:bidi="ar-SA"/>
        </w:rPr>
        <w:t>6</w:t>
      </w:r>
      <w:r>
        <w:rPr>
          <w:rFonts w:hint="default" w:ascii="仿宋" w:hAnsi="仿宋" w:eastAsia="仿宋" w:cs="仿宋"/>
          <w:color w:val="auto"/>
          <w:kern w:val="2"/>
          <w:sz w:val="32"/>
          <w:szCs w:val="32"/>
          <w:lang w:val="en-US" w:eastAsia="zh-CN" w:bidi="ar-SA"/>
        </w:rPr>
        <w:t>万元，决算数大于年初预算数的主要原因是：年初未对该功能科目下的专项资金进行预算，决算数为体制财力预算追加及该功能上年结转的资金。 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32、城乡社区支出（类）城乡社区管理事务（款）行政运行（项）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年初预算数0万元，支出决算数43.32万元，决算数大于年初预算数的主要原因是：年初未对该功能科目下的专项资金进行预算，决算数为体制财力预算追加及该功能上年结转的资金。 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33、城乡社区支出（类）城乡社区管理事务（款）一般行政管理事务（项）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年初预算数0万元，支出决算数244.42万元，决算数大于年初预算数的主要原因是：年初未对该功能科目下的专项资金进行预算，决算数为体制财力预算追加及该功能上年结转的资金。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34、城乡社区支出（类）城乡社区公共设施（款）其他城乡社区公共设施（项）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年初预算数0万元，支出决算数6.5万元，决算数大于年初预算数的主要原因是：年初未对该功能科目下的专项资金进行预算，决算数为体制财力预算追加及该功能上年结转的资金。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35、城乡社区支出（类）城乡社区环境卫生（款）城乡社区环境卫生（项）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年初预算数0万元，支出决算数5.02万元，决算数大于年初预算数的主要原因是：年初预算参考上年实际收支，本年实际较上年增加。  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36、城乡社区支出（类）建设市场管理与监督（款）建设市场管理与监督（项）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年初预算数0万元，支出决算数10万元，决算数大于年初预算数的主要原因是：年初未对该功能科目下的专项资金进行预算，决算数为体制财力预算追加及该功能上年结转的资金。 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37、城乡社区支出（类）其他城乡社区支出（款）其他城乡社区支出（项）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年初预算数0万元，支出决算数8万元，决算数大于年初预算数的主要原因是：年初未对该功能科目下的专项资金进行预算，决算数为体制财力预算追加及该功能上年结转的资金。 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38、农林水支出（类）农业农村（款）其他农业农村支出（项）</w:t>
      </w:r>
      <w:r>
        <w:rPr>
          <w:rFonts w:hint="eastAsia" w:ascii="仿宋" w:hAnsi="仿宋" w:eastAsia="仿宋" w:cs="仿宋"/>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年初预算数0万元，支出决算数3万元，决算数大于年初预算数的主要原因是：年初未对该功能科目下的专项资金进行预算，决算数为体制财力预算追加及该功能上年结转的资金。 </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农林水支出（类）林业和草原（款）其他林业和草原支出（项）</w:t>
      </w:r>
      <w:r>
        <w:rPr>
          <w:rFonts w:hint="eastAsia" w:ascii="仿宋" w:hAnsi="仿宋" w:eastAsia="仿宋" w:cs="仿宋"/>
          <w:color w:val="auto"/>
          <w:kern w:val="2"/>
          <w:sz w:val="32"/>
          <w:szCs w:val="32"/>
          <w:lang w:val="en-US" w:eastAsia="zh-CN" w:bidi="ar-SA"/>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年初预算数0万元，支出决算数10万元，决算数大于年初预算数的主要原因是：年初未对该功能科目下的专项资金进行预算，决算数为体制财力预算追加及该功能上年结转的资金。 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40、住房保障支出（类）住房改革支出（款）住房公积金（项）</w:t>
      </w:r>
      <w:r>
        <w:rPr>
          <w:rFonts w:hint="eastAsia" w:ascii="仿宋" w:hAnsi="仿宋" w:eastAsia="仿宋" w:cs="仿宋"/>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年初预算数97.93万元，支出决算数87.13万元，完成年初预算数88.97%，决算数小于年初数的主要原因是：部分公积金支出用的是上年结转的人员经费，不在该功能科目下核算  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41、灾害防治及应急管理支出（类）应急管理事务（款）一般行政管理事务（项）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年初预算数0万元，支出决算数2万元，决算数大于年初预算数的主要原因是：年初未对该功能科目下的专项资金进行预算，决算数为体制财力预算追加及该功能上年结转的资金。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42、灾害防治及应急管理支出（类）应急管理事务（款）其他应急管理事务（项）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年初预算数0万元，支出决算数1万元，决算数大于年初预算数的主要原因是：年初未对该功能科目下的专项资金进行预算，决算数为体制财力预算追加及该功能上年结转的资金。 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43、灾害防治及应急管理支出（类）消防事务（款）消防应急救援（项）</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年初预算数0万元，支出决算数8.25万元，决算数大于年初预算数的主要原因是：年初未对该功能科目下的专项资金进行预算，决算数为体制财力预算追加及该功能上年结转的资金。</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六、一般公共预算财政拨款基本支出决算情况说明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度财政拨款基本支出1815.37万元，其中：人员经费1646.58万元，占基本支出的90.7%,主要包括基本工资、津贴补贴、奖金、机关事业单位基本养老保险缴费、职工基本医疗保险缴费、公务员医疗补助缴费、其他社会保障缴费、住房公积金、其他工资福利支出、对个人和家庭的补助；公用经费168.79万元，占基本支出的9.3%，主要包括办公费、水费、电费、邮电费、物业管理费、维修（护）费、劳务费、工会经费、其他交通费用、其他商品和服务支出、办公设备购置</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黑体" w:hAnsi="黑体" w:eastAsia="黑体" w:cs="Times New Roman"/>
          <w:color w:val="auto"/>
          <w:kern w:val="0"/>
          <w:sz w:val="32"/>
          <w:szCs w:val="32"/>
          <w:lang w:val="en-US" w:eastAsia="zh-CN" w:bidi="ar-SA"/>
        </w:rPr>
        <w:t>七、一般公共预算财政拨款三公经费支出决算情况说明</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（一）“三公”经费财政拨款支出决算总体情况说明</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“三公”经费财政拨款支出预算为2.5万元，支出决算为0万元，完成预算的0%，其中</w:t>
      </w:r>
      <w:r>
        <w:rPr>
          <w:rFonts w:hint="eastAsia" w:ascii="仿宋" w:hAnsi="仿宋" w:eastAsia="仿宋" w:cs="仿宋"/>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因公出国（境）费支出预算为0万元，支出决算为0万元，完成预算的100%，决算数与年初预算数持平，主要原因按预算执行，与上年数持平，主要原因本年度未安排因公出国（境）。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公务接待费支出预算0万元，支出决算为0万元，完成预算的100%，决算数与年初预算数持平，主要原因是按预算执行，与上年数持平，主要原因是厉行节约，减少开支。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公务用车购置费及运行维护费支出预算为2.5万元，支出决算为0万元，完成预算的0%，</w:t>
      </w:r>
      <w:r>
        <w:rPr>
          <w:rFonts w:hint="default" w:ascii="仿宋" w:hAnsi="仿宋" w:eastAsia="仿宋" w:cs="仿宋"/>
          <w:color w:val="auto"/>
          <w:kern w:val="2"/>
          <w:sz w:val="32"/>
          <w:szCs w:val="32"/>
          <w:lang w:val="en-US" w:eastAsia="zh-CN" w:bidi="ar-SA"/>
        </w:rPr>
        <w:t>决算数小于年初预算数的主要原因为街道没有公务用车，该项没有列支这项费用</w:t>
      </w:r>
      <w:r>
        <w:rPr>
          <w:rFonts w:hint="eastAsia" w:ascii="仿宋" w:hAnsi="仿宋" w:eastAsia="仿宋" w:cs="仿宋"/>
          <w:color w:val="auto"/>
          <w:kern w:val="2"/>
          <w:sz w:val="32"/>
          <w:szCs w:val="32"/>
          <w:lang w:val="en-US" w:eastAsia="zh-CN" w:bidi="ar-SA"/>
        </w:rPr>
        <w:t>，与上年数持平，主要原因是厉行节约，减少开支。</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（二）“三公”经费财政拨款支出决算具体情况说明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2020年度“三公”经费财政拨款支出决算中，公务接待费支出决算0万元，占0%,因公出国（境）费支出决算0万元，占0%,公务用车购置费及运行维护费支出决算0万元，占0%。其中：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u w:val="none"/>
          <w:lang w:val="en-US" w:eastAsia="zh-CN" w:bidi="ar-SA"/>
        </w:rPr>
      </w:pPr>
      <w:r>
        <w:rPr>
          <w:rFonts w:hint="default" w:ascii="仿宋" w:hAnsi="仿宋" w:eastAsia="仿宋" w:cs="仿宋"/>
          <w:color w:val="auto"/>
          <w:kern w:val="2"/>
          <w:sz w:val="32"/>
          <w:szCs w:val="32"/>
          <w:lang w:val="en-US" w:eastAsia="zh-CN" w:bidi="ar-SA"/>
        </w:rPr>
        <w:t>1、因公出国（境）费支出决算为0万元</w:t>
      </w:r>
      <w:r>
        <w:rPr>
          <w:rFonts w:hint="eastAsia" w:ascii="仿宋" w:hAnsi="仿宋" w:eastAsia="仿宋" w:cs="仿宋"/>
          <w:color w:val="auto"/>
          <w:kern w:val="2"/>
          <w:sz w:val="32"/>
          <w:szCs w:val="32"/>
          <w:lang w:val="en-US" w:eastAsia="zh-CN" w:bidi="ar-SA"/>
        </w:rPr>
        <w:t>，</w:t>
      </w:r>
      <w:r>
        <w:rPr>
          <w:rFonts w:hint="eastAsia" w:ascii="仿宋" w:hAnsi="仿宋" w:eastAsia="仿宋" w:cs="仿宋"/>
          <w:color w:val="auto"/>
          <w:sz w:val="32"/>
          <w:szCs w:val="32"/>
        </w:rPr>
        <w:t>全年安排因公出</w:t>
      </w:r>
      <w:r>
        <w:rPr>
          <w:rFonts w:hint="eastAsia" w:ascii="仿宋" w:hAnsi="仿宋" w:eastAsia="仿宋" w:cs="仿宋"/>
          <w:color w:val="auto"/>
          <w:sz w:val="32"/>
          <w:szCs w:val="32"/>
          <w:u w:val="none"/>
        </w:rPr>
        <w:t>国（境）团组</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个，累计</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人次</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无开支内容。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2、公务接待费支出决算为0万元</w:t>
      </w:r>
      <w:r>
        <w:rPr>
          <w:rFonts w:hint="eastAsia" w:ascii="仿宋" w:hAnsi="仿宋" w:eastAsia="仿宋" w:cs="仿宋"/>
          <w:color w:val="auto"/>
          <w:kern w:val="2"/>
          <w:sz w:val="32"/>
          <w:szCs w:val="32"/>
          <w:lang w:val="en-US" w:eastAsia="zh-CN" w:bidi="ar-SA"/>
        </w:rPr>
        <w:t>，</w:t>
      </w:r>
      <w:r>
        <w:rPr>
          <w:rFonts w:hint="eastAsia" w:ascii="仿宋" w:hAnsi="仿宋" w:eastAsia="仿宋" w:cs="仿宋"/>
          <w:color w:val="auto"/>
          <w:sz w:val="32"/>
          <w:szCs w:val="32"/>
        </w:rPr>
        <w:t>全年共接待来访团组</w:t>
      </w:r>
      <w:r>
        <w:rPr>
          <w:rFonts w:hint="eastAsia" w:ascii="仿宋" w:hAnsi="仿宋" w:eastAsia="仿宋" w:cs="仿宋"/>
          <w:color w:val="auto"/>
          <w:sz w:val="32"/>
          <w:szCs w:val="32"/>
          <w:lang w:val="en-US" w:eastAsia="zh-CN"/>
        </w:rPr>
        <w:t>0个</w:t>
      </w:r>
      <w:r>
        <w:rPr>
          <w:rFonts w:hint="eastAsia" w:ascii="仿宋" w:hAnsi="仿宋" w:eastAsia="仿宋" w:cs="仿宋"/>
          <w:color w:val="auto"/>
          <w:sz w:val="32"/>
          <w:szCs w:val="32"/>
        </w:rPr>
        <w:t>、来宾</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人次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未安排公务接待。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3、公务用车购置费及运行维护费支出决算为0万元，其中：公务用车购置费0万元</w:t>
      </w:r>
      <w:r>
        <w:rPr>
          <w:rFonts w:hint="eastAsia" w:ascii="仿宋" w:hAnsi="仿宋" w:eastAsia="仿宋" w:cs="仿宋"/>
          <w:color w:val="auto"/>
          <w:kern w:val="2"/>
          <w:sz w:val="32"/>
          <w:szCs w:val="32"/>
          <w:lang w:val="en-US" w:eastAsia="zh-CN" w:bidi="ar-SA"/>
        </w:rPr>
        <w:t>，</w:t>
      </w:r>
      <w:r>
        <w:rPr>
          <w:rFonts w:hint="eastAsia" w:ascii="仿宋" w:hAnsi="仿宋" w:eastAsia="仿宋" w:cs="仿宋"/>
          <w:sz w:val="32"/>
          <w:szCs w:val="32"/>
        </w:rPr>
        <w:t>更新公务用车</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辆</w:t>
      </w:r>
      <w:r>
        <w:rPr>
          <w:rFonts w:hint="eastAsia" w:ascii="仿宋" w:hAnsi="仿宋" w:eastAsia="仿宋" w:cs="仿宋"/>
          <w:sz w:val="32"/>
          <w:szCs w:val="32"/>
          <w:u w:val="none"/>
          <w:lang w:eastAsia="zh-CN"/>
        </w:rPr>
        <w:t>，</w:t>
      </w:r>
      <w:r>
        <w:rPr>
          <w:rFonts w:hint="default" w:ascii="仿宋" w:hAnsi="仿宋" w:eastAsia="仿宋" w:cs="仿宋"/>
          <w:color w:val="auto"/>
          <w:kern w:val="2"/>
          <w:sz w:val="32"/>
          <w:szCs w:val="32"/>
          <w:lang w:val="en-US" w:eastAsia="zh-CN" w:bidi="ar-SA"/>
        </w:rPr>
        <w:t>公务用车运行维护费0万元，截至2020年12月31日，我单位开支财政拨款的公务用车保有量为0辆。</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八、政府性基金预算收入支出决算情况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2020年本街道无政府性基金资金</w:t>
      </w:r>
      <w:r>
        <w:rPr>
          <w:rFonts w:hint="eastAsia" w:ascii="仿宋" w:hAnsi="仿宋" w:eastAsia="仿宋" w:cs="仿宋"/>
          <w:color w:val="auto"/>
          <w:kern w:val="2"/>
          <w:sz w:val="32"/>
          <w:szCs w:val="32"/>
          <w:lang w:val="en-US" w:eastAsia="zh-CN" w:bidi="ar-SA"/>
        </w:rPr>
        <w:t>收支</w:t>
      </w:r>
      <w:r>
        <w:rPr>
          <w:rFonts w:hint="default" w:ascii="仿宋" w:hAnsi="仿宋" w:eastAsia="仿宋" w:cs="仿宋"/>
          <w:color w:val="auto"/>
          <w:kern w:val="2"/>
          <w:sz w:val="32"/>
          <w:szCs w:val="32"/>
          <w:lang w:val="en-US" w:eastAsia="zh-CN" w:bidi="ar-SA"/>
        </w:rPr>
        <w:t>。  </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kern w:val="2"/>
          <w:sz w:val="32"/>
          <w:szCs w:val="32"/>
          <w:lang w:val="en-US" w:eastAsia="zh-CN" w:bidi="ar-SA"/>
        </w:rPr>
      </w:pPr>
      <w:r>
        <w:rPr>
          <w:rFonts w:hint="eastAsia" w:hAnsi="黑体" w:cs="Times New Roman"/>
          <w:color w:val="auto"/>
          <w:sz w:val="32"/>
          <w:szCs w:val="32"/>
          <w:lang w:val="en-US" w:eastAsia="zh-CN"/>
        </w:rPr>
        <w:t>九、关于2020年度预算绩效情况说明</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我单位从预算绩效目标管理、专项资金管理、预算执行进度、绩效评价和资金分配和使用等方面，认真组织了自评。结果显示我单位预算绩效目标管理合理，专项资金管理规范，预算执行进度依规执行，资金分配和使用按预算执行，没有发现违规行为。根据区年初工作规划和重点性工作，围绕两型社会的构建，全面建成小康社会的发展宏图，积极履职、加强预算收支管理，不断建立健全内部管理体制，较好地履行了经济、政治、文化、社会、生态文明建设等职能，较好地完成了年度工作目标，并将绩效评价结果作为预算管理和次年预算编制的重要依据。在以后的工作中，我单位将不断提高自身素质，做好服务工作，提高社会满意度。 </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十、其他重要事项情况说明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（一）机关运行经费支出情况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本部门2020年度机关运行经费支出168.79万元，比年初预算数减少</w:t>
      </w:r>
      <w:r>
        <w:rPr>
          <w:rFonts w:hint="eastAsia" w:ascii="仿宋" w:hAnsi="仿宋" w:eastAsia="仿宋" w:cs="仿宋"/>
          <w:color w:val="auto"/>
          <w:kern w:val="2"/>
          <w:sz w:val="32"/>
          <w:szCs w:val="32"/>
          <w:lang w:val="en-US" w:eastAsia="zh-CN" w:bidi="ar-SA"/>
        </w:rPr>
        <w:t>14.56</w:t>
      </w:r>
      <w:r>
        <w:rPr>
          <w:rFonts w:hint="default" w:ascii="仿宋" w:hAnsi="仿宋" w:eastAsia="仿宋" w:cs="仿宋"/>
          <w:color w:val="auto"/>
          <w:kern w:val="2"/>
          <w:sz w:val="32"/>
          <w:szCs w:val="32"/>
          <w:lang w:val="en-US" w:eastAsia="zh-CN" w:bidi="ar-SA"/>
        </w:rPr>
        <w:t>万元，降低</w:t>
      </w:r>
      <w:r>
        <w:rPr>
          <w:rFonts w:hint="eastAsia" w:ascii="仿宋" w:hAnsi="仿宋" w:eastAsia="仿宋" w:cs="仿宋"/>
          <w:color w:val="auto"/>
          <w:kern w:val="2"/>
          <w:sz w:val="32"/>
          <w:szCs w:val="32"/>
          <w:lang w:val="en-US" w:eastAsia="zh-CN" w:bidi="ar-SA"/>
        </w:rPr>
        <w:t>7.94</w:t>
      </w:r>
      <w:r>
        <w:rPr>
          <w:rFonts w:hint="default" w:ascii="仿宋" w:hAnsi="仿宋" w:eastAsia="仿宋" w:cs="仿宋"/>
          <w:color w:val="auto"/>
          <w:kern w:val="2"/>
          <w:sz w:val="32"/>
          <w:szCs w:val="32"/>
          <w:lang w:val="en-US" w:eastAsia="zh-CN" w:bidi="ar-SA"/>
        </w:rPr>
        <w:t>%。主要原因是：部门公用经费开支在支付时使用的是项目资金指标，故一部分公用经费在项目中列支。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（二）一般性支出情况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2020年本部门开支会议费0万元，年初未安排预算；开支培训费0万元，年初未安排预算；未举办节庆、晚会、论坛、赛事活动，开支0万元，年初未安排预算。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（三）政府采购支出情况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本部门2020年度政府采购支出总额73.85万元，其中：政府采购货物支出9.74万元，占政府采购支出总额的13.1</w:t>
      </w:r>
      <w:r>
        <w:rPr>
          <w:rFonts w:hint="eastAsia" w:ascii="仿宋" w:hAnsi="仿宋" w:eastAsia="仿宋" w:cs="仿宋"/>
          <w:color w:val="auto"/>
          <w:kern w:val="2"/>
          <w:sz w:val="32"/>
          <w:szCs w:val="32"/>
          <w:lang w:val="en-US" w:eastAsia="zh-CN" w:bidi="ar-SA"/>
        </w:rPr>
        <w:t>9</w:t>
      </w:r>
      <w:r>
        <w:rPr>
          <w:rFonts w:hint="default" w:ascii="仿宋" w:hAnsi="仿宋" w:eastAsia="仿宋" w:cs="仿宋"/>
          <w:color w:val="auto"/>
          <w:kern w:val="2"/>
          <w:sz w:val="32"/>
          <w:szCs w:val="32"/>
          <w:lang w:val="en-US" w:eastAsia="zh-CN" w:bidi="ar-SA"/>
        </w:rPr>
        <w:t>%；政府采购工程支出35.01万元，占政府采购支出总额的47.41%；政府采购服务支出29.1万元，占政府采购支出总额的39.4%；授予中小企业合同金额0万元，占政府采购支出总额的0%，其中：授予小微企业合同金额0万元，占政府采购支出总额的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（四）国有资产占用情况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截至2020年12月31日，本单位共有车辆6辆，其中，执法执勤用车6辆；单位价值50万元以上通用设备0台；单位价值100万元以上专用设备0台。</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                                                            </w:t>
      </w:r>
      <w:r>
        <w:rPr>
          <w:rFonts w:hint="eastAsia" w:ascii="黑体" w:hAnsi="黑体" w:eastAsia="黑体" w:cs="黑体"/>
          <w:bCs/>
          <w:kern w:val="0"/>
          <w:sz w:val="44"/>
          <w:szCs w:val="44"/>
        </w:rPr>
        <w:t>第四部分 名词解释</w:t>
      </w:r>
      <w:r>
        <w:rPr>
          <w:rFonts w:hint="default" w:ascii="仿宋" w:hAnsi="仿宋" w:eastAsia="仿宋" w:cs="仿宋"/>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（1）财政拨款收入：指开福区财政当年拨付的资金。  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（2）基本支出：指为保障机构正常运转、完成日常工作任务而发生的人员支出和公用支出。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（3）项目支出：指在基本支出之外为完成特定行政任务和事业发展目标所发生的支出。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4）“三公”经费：纳入财政预决算管理的“三公”经费，是指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5）机关运行经费：为保障行政单位（包括参照公务员法管理的事业单位）运行用于购买货物和服务的各项资金，包括办公及印刷费、邮电费、差旅费、会议费、福利费、日常维修费、专用材料及一般商品服务支出。</w:t>
      </w:r>
      <w:r>
        <w:rPr>
          <w:rFonts w:hint="default" w:ascii="仿宋" w:hAnsi="仿宋" w:eastAsia="仿宋" w:cs="仿宋"/>
          <w:color w:val="auto"/>
          <w:kern w:val="2"/>
          <w:sz w:val="32"/>
          <w:szCs w:val="32"/>
          <w:lang w:val="en-US" w:eastAsia="zh-CN" w:bidi="ar-SA"/>
        </w:rPr>
        <w:br w:type="textWrapping"/>
      </w:r>
      <w:r>
        <w:rPr>
          <w:rFonts w:hint="default" w:ascii="仿宋" w:hAnsi="仿宋" w:eastAsia="仿宋" w:cs="仿宋"/>
          <w:color w:val="auto"/>
          <w:kern w:val="2"/>
          <w:sz w:val="32"/>
          <w:szCs w:val="32"/>
          <w:lang w:val="en-US" w:eastAsia="zh-CN" w:bidi="ar-SA"/>
        </w:rPr>
        <w:t>  </w:t>
      </w:r>
    </w:p>
    <w:p>
      <w:pPr>
        <w:keepNext w:val="0"/>
        <w:keepLines w:val="0"/>
        <w:pageBreakBefore w:val="0"/>
        <w:numPr>
          <w:ilvl w:val="0"/>
          <w:numId w:val="5"/>
        </w:numPr>
        <w:kinsoku/>
        <w:wordWrap/>
        <w:overflowPunct/>
        <w:topLinePunct w:val="0"/>
        <w:bidi w:val="0"/>
        <w:snapToGrid/>
        <w:spacing w:line="600" w:lineRule="exact"/>
        <w:ind w:firstLine="640" w:firstLineChars="200"/>
        <w:jc w:val="center"/>
        <w:textAlignment w:val="auto"/>
        <w:rPr>
          <w:rFonts w:hint="eastAsia" w:ascii="黑体" w:hAnsi="黑体" w:eastAsia="黑体" w:cs="黑体"/>
          <w:bCs/>
          <w:kern w:val="0"/>
          <w:sz w:val="44"/>
          <w:szCs w:val="44"/>
          <w:lang w:val="en-US" w:eastAsia="zh-CN"/>
        </w:rPr>
      </w:pPr>
      <w:r>
        <w:rPr>
          <w:rFonts w:hint="default" w:ascii="仿宋" w:hAnsi="仿宋" w:eastAsia="仿宋" w:cs="仿宋"/>
          <w:color w:val="auto"/>
          <w:kern w:val="2"/>
          <w:sz w:val="32"/>
          <w:szCs w:val="32"/>
          <w:lang w:val="en-US" w:eastAsia="zh-CN" w:bidi="ar-SA"/>
        </w:rPr>
        <w:t> </w:t>
      </w:r>
      <w:r>
        <w:rPr>
          <w:rFonts w:hint="eastAsia" w:ascii="黑体" w:hAnsi="黑体" w:eastAsia="黑体" w:cs="黑体"/>
          <w:bCs/>
          <w:kern w:val="0"/>
          <w:sz w:val="44"/>
          <w:szCs w:val="44"/>
          <w:lang w:val="en-US" w:eastAsia="zh-CN"/>
        </w:rPr>
        <w:t>附件</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年度部门整体支出绩效评价报告</w:t>
      </w:r>
    </w:p>
    <w:p>
      <w:pPr>
        <w:keepNext w:val="0"/>
        <w:keepLines w:val="0"/>
        <w:pageBreakBefore w:val="0"/>
        <w:numPr>
          <w:ilvl w:val="0"/>
          <w:numId w:val="0"/>
        </w:numPr>
        <w:kinsoku/>
        <w:wordWrap/>
        <w:overflowPunct/>
        <w:topLinePunct w:val="0"/>
        <w:bidi w:val="0"/>
        <w:snapToGrid/>
        <w:spacing w:line="600" w:lineRule="exact"/>
        <w:ind w:firstLine="880" w:firstLineChars="200"/>
        <w:jc w:val="both"/>
        <w:textAlignment w:val="auto"/>
        <w:rPr>
          <w:rFonts w:hint="eastAsia" w:ascii="黑体" w:hAnsi="黑体" w:eastAsia="黑体" w:cs="黑体"/>
          <w:bCs/>
          <w:kern w:val="0"/>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bookmarkStart w:id="0" w:name="_GoBack"/>
      <w:bookmarkEnd w:id="0"/>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abstractNum w:abstractNumId="1">
    <w:nsid w:val="B6BA307E"/>
    <w:multiLevelType w:val="singleLevel"/>
    <w:tmpl w:val="B6BA307E"/>
    <w:lvl w:ilvl="0" w:tentative="0">
      <w:start w:val="7"/>
      <w:numFmt w:val="decimal"/>
      <w:suff w:val="nothing"/>
      <w:lvlText w:val="%1、"/>
      <w:lvlJc w:val="left"/>
    </w:lvl>
  </w:abstractNum>
  <w:abstractNum w:abstractNumId="2">
    <w:nsid w:val="F0B5E79B"/>
    <w:multiLevelType w:val="singleLevel"/>
    <w:tmpl w:val="F0B5E79B"/>
    <w:lvl w:ilvl="0" w:tentative="0">
      <w:start w:val="39"/>
      <w:numFmt w:val="decimal"/>
      <w:suff w:val="nothing"/>
      <w:lvlText w:val="%1、"/>
      <w:lvlJc w:val="left"/>
    </w:lvl>
  </w:abstractNum>
  <w:abstractNum w:abstractNumId="3">
    <w:nsid w:val="6FF4F742"/>
    <w:multiLevelType w:val="singleLevel"/>
    <w:tmpl w:val="6FF4F742"/>
    <w:lvl w:ilvl="0" w:tentative="0">
      <w:start w:val="2"/>
      <w:numFmt w:val="chineseCounting"/>
      <w:suff w:val="space"/>
      <w:lvlText w:val="第%1部分"/>
      <w:lvlJc w:val="left"/>
      <w:rPr>
        <w:rFonts w:hint="eastAsia"/>
      </w:rPr>
    </w:lvl>
  </w:abstractNum>
  <w:abstractNum w:abstractNumId="4">
    <w:nsid w:val="7C41FF58"/>
    <w:multiLevelType w:val="singleLevel"/>
    <w:tmpl w:val="7C41FF58"/>
    <w:lvl w:ilvl="0" w:tentative="0">
      <w:start w:val="11"/>
      <w:numFmt w:val="decimal"/>
      <w:suff w:val="nothing"/>
      <w:lvlText w:val="%1、"/>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1YTVmYTM1NDNlZmNkN2NiMDQ5ZTE5YTAzYjJlYzcifQ=="/>
  </w:docVars>
  <w:rsids>
    <w:rsidRoot w:val="00000000"/>
    <w:rsid w:val="01645D42"/>
    <w:rsid w:val="02BA07B7"/>
    <w:rsid w:val="03667C95"/>
    <w:rsid w:val="059B0BA2"/>
    <w:rsid w:val="0F592105"/>
    <w:rsid w:val="1A076A41"/>
    <w:rsid w:val="27A96607"/>
    <w:rsid w:val="2C797C82"/>
    <w:rsid w:val="3231600F"/>
    <w:rsid w:val="34E11365"/>
    <w:rsid w:val="350444D0"/>
    <w:rsid w:val="366522FC"/>
    <w:rsid w:val="386657F6"/>
    <w:rsid w:val="48A16793"/>
    <w:rsid w:val="5E4E12DF"/>
    <w:rsid w:val="5FC42A04"/>
    <w:rsid w:val="6104141F"/>
    <w:rsid w:val="68215A4D"/>
    <w:rsid w:val="69810AB1"/>
    <w:rsid w:val="699B46EC"/>
    <w:rsid w:val="6B602584"/>
    <w:rsid w:val="6D9D1871"/>
    <w:rsid w:val="79E13603"/>
    <w:rsid w:val="7B4B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9510</Words>
  <Characters>10206</Characters>
  <Lines>0</Lines>
  <Paragraphs>0</Paragraphs>
  <TotalTime>25</TotalTime>
  <ScaleCrop>false</ScaleCrop>
  <LinksUpToDate>false</LinksUpToDate>
  <CharactersWithSpaces>10214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Hunk</cp:lastModifiedBy>
  <dcterms:modified xsi:type="dcterms:W3CDTF">2022-08-19T03:04:24Z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782BC0498B39471493E431FCEF4CA0E6</vt:lpwstr>
  </property>
</Properties>
</file>