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kern w:val="0"/>
          <w:sz w:val="48"/>
          <w:szCs w:val="48"/>
        </w:rPr>
      </w:pPr>
      <w:r>
        <w:rPr>
          <w:rFonts w:hint="eastAsia" w:ascii="仿宋" w:hAnsi="仿宋" w:eastAsia="仿宋" w:cs="仿宋"/>
          <w:b/>
          <w:bCs/>
          <w:kern w:val="0"/>
          <w:sz w:val="48"/>
          <w:szCs w:val="48"/>
        </w:rPr>
        <w:t>2021年长沙市开福区洪山街道办事处部门预算</w:t>
      </w:r>
    </w:p>
    <w:p>
      <w:pPr>
        <w:keepNext w:val="0"/>
        <w:keepLines w:val="0"/>
        <w:pageBreakBefore w:val="0"/>
        <w:widowControl/>
        <w:kinsoku/>
        <w:wordWrap/>
        <w:overflowPunct/>
        <w:topLinePunct w:val="0"/>
        <w:autoSpaceDE/>
        <w:autoSpaceDN/>
        <w:bidi w:val="0"/>
        <w:adjustRightInd/>
        <w:snapToGrid/>
        <w:spacing w:line="600" w:lineRule="exact"/>
        <w:ind w:firstLine="960" w:firstLineChars="200"/>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一、部门基本概况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二、部门预算单位构成</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三、部门收支总体情况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四、一般公共预算拨款支出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五、政府性基金预算支出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六、其他重要事项的情况说明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eastAsia="方正小标宋_GBK"/>
          <w:bCs/>
          <w:kern w:val="0"/>
          <w:sz w:val="36"/>
          <w:szCs w:val="36"/>
        </w:rPr>
      </w:pPr>
      <w:r>
        <w:rPr>
          <w:rFonts w:hint="eastAsia" w:ascii="黑体" w:hAnsi="黑体" w:eastAsia="黑体" w:cs="黑体"/>
          <w:b/>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eastAsia="黑体"/>
          <w:bCs/>
          <w:kern w:val="0"/>
          <w:sz w:val="32"/>
          <w:szCs w:val="32"/>
        </w:rPr>
        <w:t>一、部门基本概况</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（一）职能职责。</w:t>
      </w:r>
      <w:r>
        <w:rPr>
          <w:rFonts w:hint="eastAsia" w:ascii="仿宋" w:hAnsi="仿宋" w:eastAsia="仿宋" w:cs="仿宋"/>
          <w:bCs/>
          <w:sz w:val="32"/>
          <w:szCs w:val="32"/>
        </w:rPr>
        <w:t>洪山街道办事处是开福区政府的派出机关，受人民政府领导，依据法律、法规规定，在本辖区内行使相应的政府管理职能，开展社会主义物质文明、精神文明建设，创建安定团结、环境整洁、秩序优良、方便生活的文明街道。</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（二）机构设置。</w:t>
      </w:r>
      <w:r>
        <w:rPr>
          <w:rFonts w:hint="eastAsia" w:ascii="仿宋" w:hAnsi="仿宋" w:eastAsia="仿宋" w:cs="仿宋"/>
          <w:bCs/>
          <w:sz w:val="32"/>
          <w:szCs w:val="32"/>
        </w:rPr>
        <w:t>本部门由 1 个行政单位组成，下设党政综合办公室、基层党建办公室、城市管理办公室、公共服务办公室、公共安全办公室、财政所、综合行政执法队、街道政务服务中心、街道网格化综合服务中心、街道退役军人服务站。</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党政综合办：意识形态、机关党务及行政事务、宣传、网络安全、辖区精神文明建设、机关文电、机要保密、史志档案、信息、会务、督查督办、党务政务公开、机关后勤、国有资产管理、政府采购等工作。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基层党建办：社区提质提档、纪检（监察）、政协联络、</w:t>
      </w:r>
      <w:bookmarkStart w:id="0" w:name="_GoBack"/>
      <w:r>
        <w:rPr>
          <w:rFonts w:hint="eastAsia" w:ascii="仿宋" w:hAnsi="仿宋" w:eastAsia="仿宋" w:cs="仿宋"/>
          <w:bCs/>
          <w:sz w:val="32"/>
          <w:szCs w:val="32"/>
        </w:rPr>
        <w:t>党的建设、组织人事、工资福利、编制、绩效考核、统一战</w:t>
      </w:r>
      <w:bookmarkEnd w:id="0"/>
      <w:r>
        <w:rPr>
          <w:rFonts w:hint="eastAsia" w:ascii="仿宋" w:hAnsi="仿宋" w:eastAsia="仿宋" w:cs="仿宋"/>
          <w:bCs/>
          <w:sz w:val="32"/>
          <w:szCs w:val="32"/>
        </w:rPr>
        <w:t>线、民族宗教、侨联、五零社区创建、工会、妇联、共青团、老干、关协、机关干部队伍建设等工作。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城市管理办：文明创建、城市建设、物业管理、自然资源管理、规划建设、征收拆迁安置、城市管理、市容环境、生态环境保护、农林水务（河长制）、防汛抗旱、城市人居环境改造、数字化城市管理、12345市民热线、综合执法、市政、园林、交通等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公共服务办：社会经济调查统计、优化区域发展环境、产业发展、两型社会建设、商业网点建设管理、财源培植、科技、金融证券、工业与信息化、能源、电力、工商联、住房保障等工作、人力资源和社会保障、民政、社会救助、残联、教育、文化、旅游、体育、卫生健康、医疗保障、计生协会、红十字会、行政审批事项组织实施、指导基层自治、指导政务服务等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公共安全办：网络化管理服务、人大、社会治安综合治理、信访维稳及遗留问题处置、司法、防范邪教、禁毒、消防、人民武装、人民防空、安全生产、应急管理、市场监管。</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财政所：财务管理、税收、财源建设等工作。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综合行政执法队：负责统筹协调派驻机构基层执法力量，开展联合执法工作。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街道政务服务中心：负责网格化综合管理、数字化城市管理、12345市民热线等平台事务性、辅助性工作，负责线上、线下的巡查、指挥、调度和督办等工作，负责为各个平台运转提供技术支撑。</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街道网格化综合服务中心:负责网格化综合管理、数字化城市管理、12345市民热线等平台事务性、辅助性工作，负责线上、线下的巡查、指挥、调度和督办等工作，负责为各个平台运转提供技术支撑。</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街道退役军人服务站：协助做好退役军人组织关系、行政关系、供给关系转接和档案移交，推动退役军人流动党员纳入党的基层组织，配合组织部门指导基层党组织做好教育管理；协助做好退役军人来信来访、接待办理、心理疏导、权益咨询、政策解答、法律服务以及涉退役军人舆情的收集、引导等工作；协助做好军属、烈属、伤病残军人、带病返乡退役军人服务等事务性工作；协助开展退役军人和其他优抚对象信息数据采集、资料管理、汇总分析等工作；负责提供就业创业服务和政策咨询,协助开展职业教育和技能培训,承办自主就业退役军人招聘会、推介会、就业论坛等，搭建就业创业、困难退役军人军属帮扶援助平台；协助做好信息服务管理工作；完成区退役军人事务局交办的其他工作。</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kern w:val="0"/>
          <w:sz w:val="32"/>
          <w:szCs w:val="32"/>
        </w:rPr>
      </w:pPr>
      <w:r>
        <w:rPr>
          <w:rFonts w:eastAsia="黑体"/>
          <w:kern w:val="0"/>
          <w:sz w:val="32"/>
          <w:szCs w:val="32"/>
        </w:rPr>
        <w:t>二、部门预算单位构成</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开福区洪山街道办事处只有本级，没有其他二级预算单位，因此，纳入2021年部门预算编制范围的只有开福区洪山街道办事处本级。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三、</w:t>
      </w:r>
      <w:r>
        <w:rPr>
          <w:rFonts w:eastAsia="黑体"/>
          <w:bCs/>
          <w:kern w:val="0"/>
          <w:sz w:val="32"/>
          <w:szCs w:val="32"/>
        </w:rPr>
        <w:t>部门收支总体情况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2021年部门预算收入既包括一般公共预算收入、政府性基金收入、国有资本经营预算收入，又包括非税往来等其他收入；2021年支出预算支出既包括街道基本运行的经费，也包括上级拨款的专项经费，还有其他支出等。</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24" w:beforeAutospacing="0" w:after="24" w:afterAutospacing="0" w:line="600" w:lineRule="exact"/>
        <w:ind w:firstLine="321" w:firstLineChars="100"/>
        <w:jc w:val="both"/>
        <w:textAlignment w:val="auto"/>
        <w:rPr>
          <w:rFonts w:hint="eastAsia" w:ascii="仿宋" w:hAnsi="仿宋" w:eastAsia="仿宋" w:cs="仿宋"/>
          <w:bCs/>
          <w:sz w:val="32"/>
          <w:szCs w:val="32"/>
          <w:lang w:val="en-US" w:eastAsia="zh-CN"/>
        </w:rPr>
      </w:pPr>
      <w:r>
        <w:rPr>
          <w:rFonts w:hint="eastAsia" w:ascii="仿宋" w:hAnsi="仿宋" w:eastAsia="仿宋" w:cs="仿宋"/>
          <w:b/>
          <w:sz w:val="32"/>
          <w:szCs w:val="32"/>
        </w:rPr>
        <w:t>（一）收入预算：</w:t>
      </w:r>
      <w:r>
        <w:rPr>
          <w:rFonts w:hint="eastAsia" w:ascii="仿宋" w:hAnsi="仿宋" w:eastAsia="仿宋" w:cs="仿宋"/>
          <w:bCs/>
          <w:sz w:val="32"/>
          <w:szCs w:val="32"/>
        </w:rPr>
        <w:t>2021年年初预算数4018.13万元，其中，</w:t>
      </w:r>
      <w:r>
        <w:rPr>
          <w:rFonts w:hint="eastAsia" w:ascii="仿宋" w:hAnsi="仿宋" w:eastAsia="仿宋" w:cs="仿宋"/>
          <w:bCs/>
          <w:sz w:val="32"/>
          <w:szCs w:val="32"/>
          <w:lang w:val="en-US" w:eastAsia="zh-CN"/>
        </w:rPr>
        <w:t>一般公共预算拨款</w:t>
      </w:r>
      <w:r>
        <w:rPr>
          <w:rFonts w:ascii="仿宋" w:hAnsi="仿宋" w:eastAsia="仿宋" w:cs="仿宋"/>
          <w:bCs/>
          <w:sz w:val="32"/>
          <w:szCs w:val="32"/>
        </w:rPr>
        <w:t>2659.16</w:t>
      </w:r>
      <w:r>
        <w:rPr>
          <w:rFonts w:hint="eastAsia" w:ascii="仿宋" w:hAnsi="仿宋" w:eastAsia="仿宋" w:cs="仿宋"/>
          <w:bCs/>
          <w:sz w:val="32"/>
          <w:szCs w:val="32"/>
        </w:rPr>
        <w:t>万元，其他收入</w:t>
      </w:r>
      <w:r>
        <w:rPr>
          <w:rFonts w:ascii="仿宋" w:hAnsi="仿宋" w:eastAsia="仿宋" w:cs="仿宋"/>
          <w:bCs/>
          <w:sz w:val="32"/>
          <w:szCs w:val="32"/>
        </w:rPr>
        <w:t>1254.97</w:t>
      </w:r>
      <w:r>
        <w:rPr>
          <w:rFonts w:hint="eastAsia" w:ascii="仿宋" w:hAnsi="仿宋" w:eastAsia="仿宋" w:cs="仿宋"/>
          <w:bCs/>
          <w:sz w:val="32"/>
          <w:szCs w:val="32"/>
        </w:rPr>
        <w:t>万元，上年结转结余104万元。收入较去年增加1078.13万元，</w:t>
      </w:r>
      <w:r>
        <w:rPr>
          <w:rFonts w:hint="eastAsia" w:ascii="仿宋" w:hAnsi="仿宋" w:eastAsia="仿宋" w:cs="仿宋"/>
          <w:bCs/>
          <w:color w:val="auto"/>
          <w:sz w:val="32"/>
          <w:szCs w:val="32"/>
        </w:rPr>
        <w:t>增长3</w:t>
      </w:r>
      <w:r>
        <w:rPr>
          <w:rFonts w:ascii="仿宋" w:hAnsi="仿宋" w:eastAsia="仿宋" w:cs="仿宋"/>
          <w:bCs/>
          <w:color w:val="auto"/>
          <w:sz w:val="32"/>
          <w:szCs w:val="32"/>
        </w:rPr>
        <w:t>6.67</w:t>
      </w:r>
      <w:r>
        <w:rPr>
          <w:rFonts w:hint="eastAsia" w:ascii="仿宋" w:hAnsi="仿宋" w:eastAsia="仿宋" w:cs="仿宋"/>
          <w:bCs/>
          <w:color w:val="auto"/>
          <w:sz w:val="32"/>
          <w:szCs w:val="32"/>
        </w:rPr>
        <w:t>%，</w:t>
      </w:r>
      <w:r>
        <w:rPr>
          <w:rFonts w:hint="eastAsia" w:ascii="仿宋" w:hAnsi="仿宋" w:eastAsia="仿宋" w:cs="仿宋"/>
          <w:bCs/>
          <w:color w:val="auto"/>
          <w:sz w:val="32"/>
          <w:szCs w:val="32"/>
          <w:highlight w:val="none"/>
          <w:lang w:eastAsia="zh-CN"/>
        </w:rPr>
        <w:t>主要原因为</w:t>
      </w:r>
      <w:r>
        <w:rPr>
          <w:rFonts w:hint="eastAsia" w:ascii="仿宋" w:hAnsi="仿宋" w:eastAsia="仿宋" w:cs="仿宋"/>
          <w:bCs/>
          <w:sz w:val="32"/>
          <w:szCs w:val="32"/>
          <w:highlight w:val="none"/>
          <w:lang w:val="en-US" w:eastAsia="zh-CN"/>
        </w:rPr>
        <w:t>2021年预算收入是全口径收入，</w:t>
      </w:r>
      <w:r>
        <w:rPr>
          <w:rFonts w:hint="eastAsia" w:ascii="仿宋" w:hAnsi="仿宋" w:eastAsia="仿宋" w:cs="仿宋"/>
          <w:bCs/>
          <w:sz w:val="32"/>
          <w:szCs w:val="32"/>
          <w:highlight w:val="none"/>
        </w:rPr>
        <w:t>其他收入考虑了各线</w:t>
      </w:r>
      <w:r>
        <w:rPr>
          <w:rFonts w:hint="eastAsia" w:ascii="仿宋" w:hAnsi="仿宋" w:eastAsia="仿宋" w:cs="仿宋"/>
          <w:bCs/>
          <w:sz w:val="32"/>
          <w:szCs w:val="32"/>
          <w:highlight w:val="none"/>
          <w:lang w:eastAsia="zh-CN"/>
        </w:rPr>
        <w:t>上</w:t>
      </w:r>
      <w:r>
        <w:rPr>
          <w:rFonts w:hint="eastAsia" w:ascii="仿宋" w:hAnsi="仿宋" w:eastAsia="仿宋" w:cs="仿宋"/>
          <w:bCs/>
          <w:sz w:val="32"/>
          <w:szCs w:val="32"/>
          <w:highlight w:val="none"/>
        </w:rPr>
        <w:t>区配套</w:t>
      </w:r>
      <w:r>
        <w:rPr>
          <w:rFonts w:hint="eastAsia" w:ascii="仿宋" w:hAnsi="仿宋" w:eastAsia="仿宋" w:cs="仿宋"/>
          <w:bCs/>
          <w:sz w:val="32"/>
          <w:szCs w:val="32"/>
          <w:highlight w:val="none"/>
          <w:lang w:eastAsia="zh-CN"/>
        </w:rPr>
        <w:t>的专项</w:t>
      </w:r>
      <w:r>
        <w:rPr>
          <w:rFonts w:hint="eastAsia" w:ascii="仿宋" w:hAnsi="仿宋" w:eastAsia="仿宋" w:cs="仿宋"/>
          <w:bCs/>
          <w:sz w:val="32"/>
          <w:szCs w:val="32"/>
          <w:highlight w:val="none"/>
        </w:rPr>
        <w:t>拨款收入，社区运转工作、办公用房建设等资金。</w:t>
      </w:r>
      <w:r>
        <w:rPr>
          <w:rFonts w:hint="eastAsia" w:ascii="仿宋" w:hAnsi="仿宋" w:eastAsia="仿宋" w:cs="仿宋"/>
          <w:bCs/>
          <w:sz w:val="32"/>
          <w:szCs w:val="32"/>
          <w:highlight w:val="none"/>
          <w:lang w:val="en-US" w:eastAsia="zh-CN"/>
        </w:rPr>
        <w:t>2020年预算收入是只包含了体制财力，因此收入预算增加。</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（二）支出预算：</w:t>
      </w:r>
      <w:r>
        <w:rPr>
          <w:rFonts w:hint="eastAsia" w:ascii="仿宋" w:hAnsi="仿宋" w:eastAsia="仿宋" w:cs="仿宋"/>
          <w:bCs/>
          <w:sz w:val="32"/>
          <w:szCs w:val="32"/>
        </w:rPr>
        <w:t>2021年支出预算数4018.13万元，其中，</w:t>
      </w:r>
      <w:r>
        <w:rPr>
          <w:rFonts w:hint="eastAsia" w:ascii="仿宋" w:hAnsi="仿宋" w:eastAsia="仿宋" w:cs="仿宋"/>
          <w:bCs/>
          <w:sz w:val="32"/>
          <w:szCs w:val="32"/>
          <w:lang w:val="en-US" w:eastAsia="zh-CN"/>
        </w:rPr>
        <w:t>一般公共服务支出3871.04万</w:t>
      </w:r>
      <w:r>
        <w:rPr>
          <w:rFonts w:hint="eastAsia" w:ascii="仿宋" w:hAnsi="仿宋" w:eastAsia="仿宋" w:cs="仿宋"/>
          <w:bCs/>
          <w:sz w:val="32"/>
          <w:szCs w:val="32"/>
        </w:rPr>
        <w:t>元，</w:t>
      </w:r>
      <w:r>
        <w:rPr>
          <w:rFonts w:hint="eastAsia" w:ascii="仿宋" w:hAnsi="仿宋" w:eastAsia="仿宋" w:cs="仿宋"/>
          <w:bCs/>
          <w:sz w:val="32"/>
          <w:szCs w:val="32"/>
          <w:lang w:val="en-US" w:eastAsia="zh-CN"/>
        </w:rPr>
        <w:t>社会保障和就业支出</w:t>
      </w:r>
      <w:r>
        <w:rPr>
          <w:rFonts w:hint="eastAsia" w:ascii="仿宋" w:hAnsi="仿宋" w:eastAsia="仿宋" w:cs="仿宋"/>
          <w:bCs/>
          <w:sz w:val="32"/>
          <w:szCs w:val="32"/>
        </w:rPr>
        <w:t>27.44万元，住房</w:t>
      </w:r>
      <w:r>
        <w:rPr>
          <w:rFonts w:hint="eastAsia" w:ascii="仿宋" w:hAnsi="仿宋" w:eastAsia="仿宋" w:cs="仿宋"/>
          <w:bCs/>
          <w:sz w:val="32"/>
          <w:szCs w:val="32"/>
          <w:lang w:val="en-US" w:eastAsia="zh-CN"/>
        </w:rPr>
        <w:t>保障</w:t>
      </w:r>
      <w:r>
        <w:rPr>
          <w:rFonts w:hint="eastAsia" w:ascii="仿宋" w:hAnsi="仿宋" w:eastAsia="仿宋" w:cs="仿宋"/>
          <w:bCs/>
          <w:sz w:val="32"/>
          <w:szCs w:val="32"/>
        </w:rPr>
        <w:t>支出119.65万元。比上年增加1078.13万元，增长36.6</w:t>
      </w:r>
      <w:r>
        <w:rPr>
          <w:rFonts w:hint="eastAsia" w:ascii="仿宋" w:hAnsi="仿宋" w:eastAsia="仿宋" w:cs="仿宋"/>
          <w:bCs/>
          <w:sz w:val="32"/>
          <w:szCs w:val="32"/>
          <w:lang w:val="en-US" w:eastAsia="zh-CN"/>
        </w:rPr>
        <w:t>7</w:t>
      </w:r>
      <w:r>
        <w:rPr>
          <w:rFonts w:hint="eastAsia" w:ascii="仿宋" w:hAnsi="仿宋" w:eastAsia="仿宋" w:cs="仿宋"/>
          <w:bCs/>
          <w:sz w:val="32"/>
          <w:szCs w:val="32"/>
        </w:rPr>
        <w:t>%。支出增加的主要原因是：人员经费提标，事务专项及结算事项的增长导致财政拨款收入较去年增加，支出相应也增加。</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sz w:val="32"/>
          <w:szCs w:val="32"/>
        </w:rPr>
      </w:pPr>
      <w:r>
        <w:rPr>
          <w:rFonts w:hint="eastAsia" w:ascii="仿宋" w:hAnsi="仿宋" w:eastAsia="仿宋" w:cs="仿宋"/>
          <w:bCs/>
          <w:sz w:val="32"/>
          <w:szCs w:val="32"/>
        </w:rPr>
        <w:t>2021年一般公共预算拨款收入2659.2万元，</w:t>
      </w:r>
      <w:r>
        <w:rPr>
          <w:rFonts w:hint="eastAsia" w:ascii="仿宋" w:hAnsi="仿宋" w:eastAsia="仿宋" w:cs="仿宋"/>
          <w:sz w:val="32"/>
          <w:szCs w:val="32"/>
        </w:rPr>
        <w:t>其中，一般公共服务支出</w:t>
      </w:r>
      <w:r>
        <w:rPr>
          <w:rFonts w:ascii="仿宋" w:hAnsi="仿宋" w:eastAsia="仿宋" w:cs="仿宋"/>
          <w:sz w:val="32"/>
          <w:szCs w:val="32"/>
        </w:rPr>
        <w:t>2512.07</w:t>
      </w:r>
      <w:r>
        <w:rPr>
          <w:rFonts w:hint="eastAsia" w:ascii="仿宋" w:hAnsi="仿宋" w:eastAsia="仿宋" w:cs="仿宋"/>
          <w:sz w:val="32"/>
          <w:szCs w:val="32"/>
        </w:rPr>
        <w:t>万元，占</w:t>
      </w:r>
      <w:r>
        <w:rPr>
          <w:rFonts w:ascii="仿宋" w:hAnsi="仿宋" w:eastAsia="仿宋" w:cs="仿宋"/>
          <w:sz w:val="32"/>
          <w:szCs w:val="32"/>
        </w:rPr>
        <w:t>94.47</w:t>
      </w:r>
      <w:r>
        <w:rPr>
          <w:rFonts w:hint="eastAsia" w:ascii="仿宋" w:hAnsi="仿宋" w:eastAsia="仿宋" w:cs="仿宋"/>
          <w:sz w:val="32"/>
          <w:szCs w:val="32"/>
        </w:rPr>
        <w:t>%；</w:t>
      </w:r>
      <w:r>
        <w:rPr>
          <w:rFonts w:hint="eastAsia" w:ascii="仿宋" w:hAnsi="仿宋" w:eastAsia="仿宋"/>
          <w:sz w:val="32"/>
          <w:szCs w:val="32"/>
        </w:rPr>
        <w:t>社会保障和就业2</w:t>
      </w:r>
      <w:r>
        <w:rPr>
          <w:rFonts w:ascii="仿宋" w:hAnsi="仿宋" w:eastAsia="仿宋"/>
          <w:sz w:val="32"/>
          <w:szCs w:val="32"/>
        </w:rPr>
        <w:t>7.44</w:t>
      </w:r>
      <w:r>
        <w:rPr>
          <w:rFonts w:hint="eastAsia" w:ascii="仿宋" w:hAnsi="仿宋" w:eastAsia="仿宋" w:cs="仿宋"/>
          <w:sz w:val="32"/>
          <w:szCs w:val="32"/>
        </w:rPr>
        <w:t>万元</w:t>
      </w:r>
      <w:r>
        <w:rPr>
          <w:rFonts w:hint="eastAsia" w:ascii="仿宋" w:hAnsi="仿宋" w:eastAsia="仿宋"/>
          <w:sz w:val="32"/>
          <w:szCs w:val="32"/>
        </w:rPr>
        <w:t>，</w:t>
      </w:r>
      <w:r>
        <w:rPr>
          <w:rFonts w:ascii="仿宋" w:hAnsi="仿宋" w:eastAsia="仿宋"/>
          <w:sz w:val="32"/>
          <w:szCs w:val="32"/>
        </w:rPr>
        <w:t>占</w:t>
      </w:r>
      <w:r>
        <w:rPr>
          <w:rFonts w:ascii="仿宋" w:hAnsi="仿宋" w:eastAsia="仿宋" w:cs="仿宋"/>
          <w:sz w:val="32"/>
          <w:szCs w:val="32"/>
        </w:rPr>
        <w:t>1.03</w:t>
      </w:r>
      <w:r>
        <w:rPr>
          <w:rFonts w:hint="eastAsia" w:ascii="仿宋" w:hAnsi="仿宋" w:eastAsia="仿宋"/>
          <w:sz w:val="32"/>
          <w:szCs w:val="32"/>
        </w:rPr>
        <w:t>%；住房保障支出</w:t>
      </w:r>
      <w:r>
        <w:rPr>
          <w:rFonts w:ascii="仿宋" w:hAnsi="仿宋" w:eastAsia="仿宋" w:cs="仿宋"/>
          <w:sz w:val="32"/>
          <w:szCs w:val="32"/>
        </w:rPr>
        <w:t>119.65</w:t>
      </w:r>
      <w:r>
        <w:rPr>
          <w:rFonts w:hint="eastAsia" w:ascii="仿宋" w:hAnsi="仿宋" w:eastAsia="仿宋"/>
          <w:sz w:val="32"/>
          <w:szCs w:val="32"/>
        </w:rPr>
        <w:t>万元，</w:t>
      </w:r>
      <w:r>
        <w:rPr>
          <w:rFonts w:ascii="仿宋" w:hAnsi="仿宋" w:eastAsia="仿宋"/>
          <w:sz w:val="32"/>
          <w:szCs w:val="32"/>
        </w:rPr>
        <w:t>占</w:t>
      </w:r>
      <w:r>
        <w:rPr>
          <w:rFonts w:ascii="仿宋" w:hAnsi="仿宋" w:eastAsia="仿宋" w:cs="仿宋"/>
          <w:sz w:val="32"/>
          <w:szCs w:val="32"/>
        </w:rPr>
        <w:t>4.5</w:t>
      </w:r>
      <w:r>
        <w:rPr>
          <w:rFonts w:hint="eastAsia" w:ascii="仿宋" w:hAnsi="仿宋" w:eastAsia="仿宋"/>
          <w:sz w:val="32"/>
          <w:szCs w:val="32"/>
        </w:rPr>
        <w:t>%</w:t>
      </w:r>
      <w:r>
        <w:rPr>
          <w:rFonts w:hint="eastAsia" w:ascii="仿宋" w:hAnsi="仿宋" w:eastAsia="仿宋" w:cs="仿宋"/>
          <w:sz w:val="32"/>
          <w:szCs w:val="32"/>
        </w:rPr>
        <w:t>。</w:t>
      </w:r>
      <w:r>
        <w:rPr>
          <w:rFonts w:hint="eastAsia" w:ascii="仿宋" w:hAnsi="仿宋" w:eastAsia="仿宋" w:cs="仿宋"/>
          <w:bCs/>
          <w:sz w:val="32"/>
          <w:szCs w:val="32"/>
        </w:rPr>
        <w:t>具体安排情况如下：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（一）基本支出：</w:t>
      </w:r>
      <w:r>
        <w:rPr>
          <w:rFonts w:hint="eastAsia" w:ascii="仿宋" w:hAnsi="仿宋" w:eastAsia="仿宋" w:cs="仿宋"/>
          <w:bCs/>
          <w:sz w:val="32"/>
          <w:szCs w:val="32"/>
        </w:rPr>
        <w:t>2021年街道基本支出1652.3万元，是指为保障单位机构正常运转、完成日常工作任务而发生的各项支出，包括用于基本工资、津贴补贴等人员经费以及办公费、印刷费、水电费、办公设备购置等日常公用经费。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（二）项目支出：</w:t>
      </w:r>
      <w:r>
        <w:rPr>
          <w:rFonts w:hint="eastAsia" w:ascii="仿宋" w:hAnsi="仿宋" w:eastAsia="仿宋" w:cs="仿宋"/>
          <w:bCs/>
          <w:sz w:val="32"/>
          <w:szCs w:val="32"/>
        </w:rPr>
        <w:t>2021年年初预算数为</w:t>
      </w:r>
      <w:r>
        <w:rPr>
          <w:rFonts w:ascii="仿宋" w:hAnsi="仿宋" w:eastAsia="仿宋" w:cs="仿宋"/>
          <w:bCs/>
          <w:sz w:val="32"/>
          <w:szCs w:val="32"/>
        </w:rPr>
        <w:t>1006.86</w:t>
      </w:r>
      <w:r>
        <w:rPr>
          <w:rFonts w:hint="eastAsia" w:ascii="仿宋" w:hAnsi="仿宋" w:eastAsia="仿宋" w:cs="仿宋"/>
          <w:bCs/>
          <w:sz w:val="32"/>
          <w:szCs w:val="32"/>
        </w:rPr>
        <w:t>万元，是指单位为完成特定行政工作任务或事业发展目标而发生的支出，包括有关事业发展专项、专项业务费、基本建设支出、对市县专项补助等。其中：社会管理事务预计开支227.04万元，主要用于思想宣传、妇联、教育、文体、两型社会、保密、档案、统战、党建、政协、消防、武装、交通整治、人防、国安、扫黑除恶、信访维稳、治安巡防、禁毒戒毒、人民调解、矫正安帮、依法行政、纪检、人大、安全生产等工作开支；经济发展事务预计开支64.3万元，主要用于打非工作、财源建设、协税护税、重点企业培育、楼宇建设、招商引资产业发展、企业职能分离专项工作、科技及军民融合、项目建设、处遗工作、经普、统计工作、财政所建设、审计工作开支；城市管理事务预计开支349.92万元，主要用于文明创建、维护作业、垃圾清运、广告招牌整治、拆违控违、数字化经费、爱卫经费、城管协管员工资福利、物业经费、城管中队工作经费、公共基础设施维护、节能环保工作、食品安全工作开支；公共服务事务预计开支</w:t>
      </w:r>
      <w:r>
        <w:rPr>
          <w:rFonts w:hint="eastAsia" w:ascii="仿宋" w:hAnsi="仿宋" w:eastAsia="仿宋" w:cs="仿宋"/>
          <w:bCs/>
          <w:sz w:val="32"/>
          <w:szCs w:val="32"/>
          <w:highlight w:val="none"/>
          <w:lang w:val="en-US" w:eastAsia="zh-CN"/>
        </w:rPr>
        <w:t>232.63</w:t>
      </w:r>
      <w:r>
        <w:rPr>
          <w:rFonts w:hint="eastAsia" w:ascii="仿宋" w:hAnsi="仿宋" w:eastAsia="仿宋" w:cs="仿宋"/>
          <w:bCs/>
          <w:sz w:val="32"/>
          <w:szCs w:val="32"/>
        </w:rPr>
        <w:t>万元，主要用于妇女病查治、孕前优生检查、四项手术费、家庭医生签约服务、家庭意外伤害保险、红十字会无偿献血、信息员补助、卫计专干津贴、流动人口管理、计生宣传教育培训、计生协会工作、计生奖扶经费、计生迎检考核、计生药具经费、临时救助、伤残死亡抚恤、春节慰问、社会救助、劳动及就业、居家养老服务、高龄补贴、两保人员工资福利、残疾人事业支出、社区社会组织管理工作开支；其他事务预计开支132.97万元，主要用于社区两委及临聘超编人员工资福利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rPr>
      </w:pPr>
      <w:r>
        <w:rPr>
          <w:rFonts w:eastAsia="黑体"/>
          <w:color w:val="auto"/>
          <w:sz w:val="32"/>
          <w:szCs w:val="32"/>
        </w:rPr>
        <w:t>五、政府性基金预算支出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六、其他重要事项的情况说明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（一）机关运行经费：</w:t>
      </w:r>
      <w:r>
        <w:rPr>
          <w:rFonts w:hint="eastAsia" w:ascii="仿宋" w:hAnsi="仿宋" w:eastAsia="仿宋" w:cs="仿宋"/>
          <w:bCs/>
          <w:sz w:val="32"/>
          <w:szCs w:val="32"/>
        </w:rPr>
        <w:t>2021年街道运行经费财政拨款预算247.</w:t>
      </w:r>
      <w:r>
        <w:rPr>
          <w:rFonts w:hint="eastAsia" w:ascii="仿宋" w:hAnsi="仿宋" w:eastAsia="仿宋" w:cs="仿宋"/>
          <w:bCs/>
          <w:sz w:val="32"/>
          <w:szCs w:val="32"/>
          <w:lang w:val="en-US" w:eastAsia="zh-CN"/>
        </w:rPr>
        <w:t>09</w:t>
      </w:r>
      <w:r>
        <w:rPr>
          <w:rFonts w:hint="eastAsia" w:ascii="仿宋" w:hAnsi="仿宋" w:eastAsia="仿宋" w:cs="仿宋"/>
          <w:bCs/>
          <w:sz w:val="32"/>
          <w:szCs w:val="32"/>
        </w:rPr>
        <w:t>万元，比2020年预算增加37.03万元，增加17.6%。主要原因是事业编人员的车补纳入了本年预算,另外在职人数增加导致公用经费增加,工会经费也较去年增加。</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highlight w:val="none"/>
        </w:rPr>
      </w:pPr>
      <w:r>
        <w:rPr>
          <w:rFonts w:hint="eastAsia" w:ascii="仿宋" w:hAnsi="仿宋" w:eastAsia="仿宋" w:cs="仿宋"/>
          <w:b/>
          <w:sz w:val="32"/>
          <w:szCs w:val="32"/>
        </w:rPr>
        <w:t>（二）“三公”经费预算：</w:t>
      </w:r>
      <w:r>
        <w:rPr>
          <w:rFonts w:hint="eastAsia" w:ascii="仿宋" w:hAnsi="仿宋" w:eastAsia="仿宋" w:cs="仿宋"/>
          <w:bCs/>
          <w:sz w:val="32"/>
          <w:szCs w:val="32"/>
        </w:rPr>
        <w:t>2021年“三公”经费预算数为0万元，其中，公务接待费0万元，公务用车购置及运行费0万元（其中，公务用车购置费0万元，公务用车运行费0万元），因公出国（境）费0万元。认真贯彻落实中央八项规定精神和厉行节约要求，2021年“三公”经费预算较2020年持平，</w:t>
      </w:r>
      <w:r>
        <w:rPr>
          <w:rFonts w:hint="eastAsia" w:ascii="仿宋" w:hAnsi="仿宋" w:eastAsia="仿宋" w:cs="仿宋"/>
          <w:bCs/>
          <w:sz w:val="32"/>
          <w:szCs w:val="32"/>
          <w:highlight w:val="none"/>
        </w:rPr>
        <w:t>主要是认真贯彻落实中央八项规定精神和厉行节约要求，</w:t>
      </w:r>
      <w:r>
        <w:rPr>
          <w:rFonts w:hint="eastAsia" w:ascii="仿宋" w:hAnsi="仿宋" w:eastAsia="仿宋" w:cs="仿宋"/>
          <w:bCs/>
          <w:sz w:val="32"/>
          <w:szCs w:val="32"/>
          <w:highlight w:val="none"/>
          <w:lang w:eastAsia="zh-CN"/>
        </w:rPr>
        <w:t>所以</w:t>
      </w:r>
      <w:r>
        <w:rPr>
          <w:rFonts w:hint="eastAsia" w:ascii="仿宋" w:hAnsi="仿宋" w:eastAsia="仿宋" w:cs="仿宋"/>
          <w:bCs/>
          <w:sz w:val="32"/>
          <w:szCs w:val="32"/>
          <w:highlight w:val="none"/>
          <w:lang w:val="en-US" w:eastAsia="zh-CN"/>
        </w:rPr>
        <w:t>2021年没有产生“三公”经费</w:t>
      </w:r>
      <w:r>
        <w:rPr>
          <w:rFonts w:hint="eastAsia" w:ascii="仿宋" w:hAnsi="仿宋" w:eastAsia="仿宋" w:cs="仿宋"/>
          <w:bCs/>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b/>
          <w:sz w:val="32"/>
          <w:szCs w:val="32"/>
          <w:highlight w:val="none"/>
        </w:rPr>
      </w:pPr>
      <w:r>
        <w:rPr>
          <w:rFonts w:hint="eastAsia" w:ascii="仿宋" w:hAnsi="仿宋" w:eastAsia="仿宋" w:cs="仿宋"/>
          <w:b/>
          <w:sz w:val="32"/>
          <w:szCs w:val="32"/>
          <w:highlight w:val="none"/>
        </w:rPr>
        <w:t>（三）一般性支出情况：</w:t>
      </w:r>
      <w:r>
        <w:rPr>
          <w:rFonts w:hint="eastAsia" w:ascii="仿宋" w:hAnsi="仿宋" w:eastAsia="仿宋" w:cs="仿宋"/>
          <w:bCs/>
          <w:sz w:val="32"/>
          <w:szCs w:val="32"/>
          <w:highlight w:val="none"/>
        </w:rPr>
        <w:t>2021</w:t>
      </w:r>
      <w:r>
        <w:rPr>
          <w:rFonts w:hint="eastAsia" w:ascii="仿宋" w:hAnsi="仿宋" w:eastAsia="仿宋" w:cs="仿宋"/>
          <w:kern w:val="0"/>
          <w:sz w:val="32"/>
          <w:szCs w:val="32"/>
          <w:highlight w:val="none"/>
        </w:rPr>
        <w:t>年本部门会议费预算</w:t>
      </w:r>
      <w:r>
        <w:rPr>
          <w:rFonts w:hint="eastAsia" w:ascii="仿宋" w:hAnsi="仿宋" w:eastAsia="仿宋" w:cs="仿宋"/>
          <w:kern w:val="0"/>
          <w:sz w:val="32"/>
          <w:szCs w:val="32"/>
          <w:highlight w:val="none"/>
          <w:lang w:val="en-US" w:eastAsia="zh-CN"/>
        </w:rPr>
        <w:t>0</w:t>
      </w:r>
      <w:r>
        <w:rPr>
          <w:rFonts w:hint="eastAsia" w:ascii="仿宋" w:hAnsi="仿宋" w:eastAsia="仿宋" w:cs="仿宋"/>
          <w:kern w:val="0"/>
          <w:sz w:val="32"/>
          <w:szCs w:val="32"/>
          <w:highlight w:val="none"/>
        </w:rPr>
        <w:t>万元，</w:t>
      </w:r>
      <w:r>
        <w:rPr>
          <w:rFonts w:hint="eastAsia" w:ascii="仿宋" w:hAnsi="仿宋" w:eastAsia="仿宋" w:cs="仿宋"/>
          <w:kern w:val="0"/>
          <w:sz w:val="32"/>
          <w:szCs w:val="32"/>
          <w:highlight w:val="none"/>
          <w:lang w:eastAsia="zh-CN"/>
        </w:rPr>
        <w:t>不</w:t>
      </w:r>
      <w:r>
        <w:rPr>
          <w:rFonts w:hint="eastAsia" w:ascii="仿宋" w:hAnsi="仿宋" w:eastAsia="仿宋" w:cs="仿宋"/>
          <w:kern w:val="0"/>
          <w:sz w:val="32"/>
          <w:szCs w:val="32"/>
          <w:highlight w:val="none"/>
        </w:rPr>
        <w:t>召开</w:t>
      </w:r>
      <w:r>
        <w:rPr>
          <w:rFonts w:hint="eastAsia" w:ascii="仿宋" w:hAnsi="仿宋" w:eastAsia="仿宋" w:cs="仿宋"/>
          <w:kern w:val="0"/>
          <w:sz w:val="32"/>
          <w:szCs w:val="32"/>
          <w:highlight w:val="none"/>
          <w:lang w:eastAsia="zh-CN"/>
        </w:rPr>
        <w:t>大型</w:t>
      </w:r>
      <w:r>
        <w:rPr>
          <w:rFonts w:hint="eastAsia" w:ascii="仿宋" w:hAnsi="仿宋" w:eastAsia="仿宋" w:cs="仿宋"/>
          <w:kern w:val="0"/>
          <w:sz w:val="32"/>
          <w:szCs w:val="32"/>
          <w:highlight w:val="none"/>
        </w:rPr>
        <w:t>会议；培训费预算</w:t>
      </w:r>
      <w:r>
        <w:rPr>
          <w:rFonts w:hint="eastAsia" w:ascii="仿宋" w:hAnsi="仿宋" w:eastAsia="仿宋" w:cs="仿宋"/>
          <w:kern w:val="0"/>
          <w:sz w:val="32"/>
          <w:szCs w:val="32"/>
          <w:highlight w:val="none"/>
          <w:lang w:val="en-US" w:eastAsia="zh-CN"/>
        </w:rPr>
        <w:t>0</w:t>
      </w:r>
      <w:r>
        <w:rPr>
          <w:rFonts w:hint="eastAsia" w:ascii="仿宋" w:hAnsi="仿宋" w:eastAsia="仿宋" w:cs="仿宋"/>
          <w:kern w:val="0"/>
          <w:sz w:val="32"/>
          <w:szCs w:val="32"/>
          <w:highlight w:val="none"/>
        </w:rPr>
        <w:t>万元，</w:t>
      </w:r>
      <w:r>
        <w:rPr>
          <w:rFonts w:hint="eastAsia" w:ascii="仿宋" w:hAnsi="仿宋" w:eastAsia="仿宋" w:cs="仿宋"/>
          <w:kern w:val="0"/>
          <w:sz w:val="32"/>
          <w:szCs w:val="32"/>
          <w:highlight w:val="none"/>
          <w:lang w:eastAsia="zh-CN"/>
        </w:rPr>
        <w:t>不</w:t>
      </w:r>
      <w:r>
        <w:rPr>
          <w:rFonts w:hint="eastAsia" w:ascii="仿宋" w:hAnsi="仿宋" w:eastAsia="仿宋" w:cs="仿宋"/>
          <w:kern w:val="0"/>
          <w:sz w:val="32"/>
          <w:szCs w:val="32"/>
          <w:highlight w:val="none"/>
        </w:rPr>
        <w:t>开展</w:t>
      </w:r>
      <w:r>
        <w:rPr>
          <w:rFonts w:hint="eastAsia" w:ascii="仿宋" w:hAnsi="仿宋" w:eastAsia="仿宋" w:cs="仿宋"/>
          <w:sz w:val="32"/>
          <w:szCs w:val="32"/>
          <w:highlight w:val="none"/>
          <w:u w:val="none"/>
          <w:lang w:eastAsia="zh-CN"/>
        </w:rPr>
        <w:t>大型</w:t>
      </w:r>
      <w:r>
        <w:rPr>
          <w:rFonts w:hint="eastAsia" w:ascii="仿宋" w:hAnsi="仿宋" w:eastAsia="仿宋" w:cs="仿宋"/>
          <w:kern w:val="0"/>
          <w:sz w:val="32"/>
          <w:szCs w:val="32"/>
          <w:highlight w:val="none"/>
        </w:rPr>
        <w:t>培训；</w:t>
      </w:r>
      <w:r>
        <w:rPr>
          <w:rFonts w:hint="eastAsia" w:ascii="仿宋" w:hAnsi="仿宋" w:eastAsia="仿宋" w:cs="仿宋"/>
          <w:kern w:val="0"/>
          <w:sz w:val="32"/>
          <w:szCs w:val="32"/>
          <w:highlight w:val="none"/>
          <w:lang w:val="en-US" w:eastAsia="zh-CN"/>
        </w:rPr>
        <w:t>未</w:t>
      </w:r>
      <w:r>
        <w:rPr>
          <w:rFonts w:hint="eastAsia" w:ascii="仿宋" w:hAnsi="仿宋" w:eastAsia="仿宋" w:cs="仿宋"/>
          <w:kern w:val="0"/>
          <w:sz w:val="32"/>
          <w:szCs w:val="32"/>
          <w:highlight w:val="none"/>
        </w:rPr>
        <w:t>举办</w:t>
      </w:r>
      <w:r>
        <w:rPr>
          <w:rFonts w:hint="eastAsia" w:ascii="仿宋" w:hAnsi="仿宋" w:eastAsia="仿宋" w:cs="仿宋"/>
          <w:kern w:val="0"/>
          <w:sz w:val="32"/>
          <w:szCs w:val="32"/>
          <w:highlight w:val="none"/>
          <w:lang w:eastAsia="zh-CN"/>
        </w:rPr>
        <w:t>大型</w:t>
      </w:r>
      <w:r>
        <w:rPr>
          <w:rFonts w:hint="eastAsia" w:ascii="仿宋" w:hAnsi="仿宋" w:eastAsia="仿宋" w:cs="仿宋"/>
          <w:kern w:val="0"/>
          <w:sz w:val="32"/>
          <w:szCs w:val="32"/>
          <w:highlight w:val="none"/>
        </w:rPr>
        <w:t>节庆、晚会、论坛、赛事活动，经费预算</w:t>
      </w:r>
      <w:r>
        <w:rPr>
          <w:rFonts w:hint="eastAsia" w:ascii="仿宋" w:hAnsi="仿宋" w:eastAsia="仿宋" w:cs="仿宋"/>
          <w:kern w:val="0"/>
          <w:sz w:val="32"/>
          <w:szCs w:val="32"/>
          <w:highlight w:val="none"/>
          <w:lang w:val="en-US" w:eastAsia="zh-CN"/>
        </w:rPr>
        <w:t>0</w:t>
      </w:r>
      <w:r>
        <w:rPr>
          <w:rFonts w:hint="eastAsia" w:ascii="仿宋" w:hAnsi="仿宋" w:eastAsia="仿宋" w:cs="仿宋"/>
          <w:kern w:val="0"/>
          <w:sz w:val="32"/>
          <w:szCs w:val="32"/>
          <w:highlight w:val="none"/>
        </w:rPr>
        <w:t>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（四）政府采购情况：</w:t>
      </w:r>
      <w:r>
        <w:rPr>
          <w:rFonts w:hint="eastAsia" w:ascii="仿宋" w:hAnsi="仿宋" w:eastAsia="仿宋" w:cs="仿宋"/>
          <w:bCs/>
          <w:sz w:val="32"/>
          <w:szCs w:val="32"/>
        </w:rPr>
        <w:t>2021年洪山街道办事处政府采购预算总额296.7万元，其中：政府采购货物预算21.1万元、政府采购服务预算275.6万元、</w:t>
      </w:r>
      <w:r>
        <w:rPr>
          <w:rFonts w:hint="eastAsia" w:ascii="仿宋" w:hAnsi="仿宋" w:eastAsia="仿宋" w:cs="仿宋"/>
          <w:sz w:val="32"/>
          <w:szCs w:val="32"/>
        </w:rPr>
        <w:t>工程类采购预算</w:t>
      </w:r>
      <w:r>
        <w:rPr>
          <w:rFonts w:ascii="仿宋" w:hAnsi="仿宋" w:eastAsia="仿宋" w:cs="仿宋"/>
          <w:sz w:val="32"/>
          <w:szCs w:val="32"/>
        </w:rPr>
        <w:t>0</w:t>
      </w:r>
      <w:r>
        <w:rPr>
          <w:rFonts w:hint="eastAsia" w:ascii="仿宋" w:hAnsi="仿宋" w:eastAsia="仿宋" w:cs="仿宋"/>
          <w:sz w:val="32"/>
          <w:szCs w:val="32"/>
        </w:rPr>
        <w:t>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（五）国有资产占用使用及新增资产配置情况：</w:t>
      </w:r>
      <w:r>
        <w:rPr>
          <w:rFonts w:ascii="仿宋" w:hAnsi="仿宋" w:eastAsia="仿宋" w:cs="仿宋"/>
          <w:bCs/>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kern w:val="0"/>
          <w:sz w:val="32"/>
          <w:szCs w:val="32"/>
        </w:rPr>
      </w:pPr>
      <w:r>
        <w:rPr>
          <w:rFonts w:hint="eastAsia" w:ascii="仿宋" w:hAnsi="仿宋" w:eastAsia="仿宋" w:cs="仿宋"/>
          <w:sz w:val="32"/>
          <w:szCs w:val="32"/>
        </w:rPr>
        <w:t>截至2020年12月底，本部门</w:t>
      </w:r>
      <w:r>
        <w:rPr>
          <w:rFonts w:hint="eastAsia" w:ascii="仿宋" w:hAnsi="仿宋" w:eastAsia="仿宋" w:cs="仿宋"/>
          <w:bCs/>
          <w:kern w:val="0"/>
          <w:sz w:val="32"/>
          <w:szCs w:val="32"/>
        </w:rPr>
        <w:t>共有公务用车</w:t>
      </w:r>
      <w:r>
        <w:rPr>
          <w:rFonts w:ascii="仿宋" w:hAnsi="仿宋" w:eastAsia="仿宋" w:cs="仿宋"/>
          <w:bCs/>
          <w:kern w:val="0"/>
          <w:sz w:val="32"/>
          <w:szCs w:val="32"/>
        </w:rPr>
        <w:t>37</w:t>
      </w:r>
      <w:r>
        <w:rPr>
          <w:rFonts w:hint="eastAsia" w:ascii="仿宋" w:hAnsi="仿宋" w:eastAsia="仿宋" w:cs="仿宋"/>
          <w:bCs/>
          <w:kern w:val="0"/>
          <w:sz w:val="32"/>
          <w:szCs w:val="32"/>
        </w:rPr>
        <w:t>辆，其中，机要通信用车</w:t>
      </w:r>
      <w:r>
        <w:rPr>
          <w:rFonts w:ascii="仿宋" w:hAnsi="仿宋" w:eastAsia="仿宋" w:cs="仿宋"/>
          <w:bCs/>
          <w:kern w:val="0"/>
          <w:sz w:val="32"/>
          <w:szCs w:val="32"/>
        </w:rPr>
        <w:t>0</w:t>
      </w:r>
      <w:r>
        <w:rPr>
          <w:rFonts w:hint="eastAsia" w:ascii="仿宋" w:hAnsi="仿宋" w:eastAsia="仿宋" w:cs="仿宋"/>
          <w:bCs/>
          <w:kern w:val="0"/>
          <w:sz w:val="32"/>
          <w:szCs w:val="32"/>
        </w:rPr>
        <w:t>辆，应急保障用车</w:t>
      </w:r>
      <w:r>
        <w:rPr>
          <w:rFonts w:ascii="仿宋" w:hAnsi="仿宋" w:eastAsia="仿宋" w:cs="仿宋"/>
          <w:bCs/>
          <w:kern w:val="0"/>
          <w:sz w:val="32"/>
          <w:szCs w:val="32"/>
        </w:rPr>
        <w:t>0</w:t>
      </w:r>
      <w:r>
        <w:rPr>
          <w:rFonts w:hint="eastAsia" w:ascii="仿宋" w:hAnsi="仿宋" w:eastAsia="仿宋" w:cs="仿宋"/>
          <w:bCs/>
          <w:kern w:val="0"/>
          <w:sz w:val="32"/>
          <w:szCs w:val="32"/>
        </w:rPr>
        <w:t>辆，执法执勤用车</w:t>
      </w:r>
      <w:r>
        <w:rPr>
          <w:rFonts w:ascii="仿宋" w:hAnsi="仿宋" w:eastAsia="仿宋" w:cs="仿宋"/>
          <w:bCs/>
          <w:kern w:val="0"/>
          <w:sz w:val="32"/>
          <w:szCs w:val="32"/>
        </w:rPr>
        <w:t>7</w:t>
      </w:r>
      <w:r>
        <w:rPr>
          <w:rFonts w:hint="eastAsia" w:ascii="仿宋" w:hAnsi="仿宋" w:eastAsia="仿宋" w:cs="仿宋"/>
          <w:bCs/>
          <w:kern w:val="0"/>
          <w:sz w:val="32"/>
          <w:szCs w:val="32"/>
        </w:rPr>
        <w:t>辆，特种专业技术用车</w:t>
      </w:r>
      <w:r>
        <w:rPr>
          <w:rFonts w:ascii="仿宋" w:hAnsi="仿宋" w:eastAsia="仿宋" w:cs="仿宋"/>
          <w:bCs/>
          <w:kern w:val="0"/>
          <w:sz w:val="32"/>
          <w:szCs w:val="32"/>
        </w:rPr>
        <w:t>0</w:t>
      </w:r>
      <w:r>
        <w:rPr>
          <w:rFonts w:hint="eastAsia" w:ascii="仿宋" w:hAnsi="仿宋" w:eastAsia="仿宋" w:cs="仿宋"/>
          <w:bCs/>
          <w:kern w:val="0"/>
          <w:sz w:val="32"/>
          <w:szCs w:val="32"/>
        </w:rPr>
        <w:t>辆，其他按照规定配备的非公务用车</w:t>
      </w:r>
      <w:r>
        <w:rPr>
          <w:rFonts w:ascii="仿宋" w:hAnsi="仿宋" w:eastAsia="仿宋" w:cs="仿宋"/>
          <w:bCs/>
          <w:kern w:val="0"/>
          <w:sz w:val="32"/>
          <w:szCs w:val="32"/>
        </w:rPr>
        <w:t>30</w:t>
      </w:r>
      <w:r>
        <w:rPr>
          <w:rFonts w:hint="eastAsia" w:ascii="仿宋" w:hAnsi="仿宋" w:eastAsia="仿宋" w:cs="仿宋"/>
          <w:bCs/>
          <w:kern w:val="0"/>
          <w:sz w:val="32"/>
          <w:szCs w:val="32"/>
        </w:rPr>
        <w:t>辆；单位价值50万元以上通用设备</w:t>
      </w:r>
      <w:r>
        <w:rPr>
          <w:rFonts w:ascii="仿宋" w:hAnsi="仿宋" w:eastAsia="仿宋" w:cs="仿宋"/>
          <w:bCs/>
          <w:kern w:val="0"/>
          <w:sz w:val="32"/>
          <w:szCs w:val="32"/>
        </w:rPr>
        <w:t>0</w:t>
      </w:r>
      <w:r>
        <w:rPr>
          <w:rFonts w:hint="eastAsia" w:ascii="仿宋" w:hAnsi="仿宋" w:eastAsia="仿宋" w:cs="仿宋"/>
          <w:bCs/>
          <w:kern w:val="0"/>
          <w:sz w:val="32"/>
          <w:szCs w:val="32"/>
        </w:rPr>
        <w:t>台，单位价值100万元以上专用设备</w:t>
      </w:r>
      <w:r>
        <w:rPr>
          <w:rFonts w:ascii="仿宋" w:hAnsi="仿宋" w:eastAsia="仿宋" w:cs="仿宋"/>
          <w:bCs/>
          <w:kern w:val="0"/>
          <w:sz w:val="32"/>
          <w:szCs w:val="32"/>
        </w:rPr>
        <w:t>0</w:t>
      </w:r>
      <w:r>
        <w:rPr>
          <w:rFonts w:hint="eastAsia" w:ascii="仿宋" w:hAnsi="仿宋" w:eastAsia="仿宋" w:cs="仿宋"/>
          <w:bCs/>
          <w:kern w:val="0"/>
          <w:sz w:val="32"/>
          <w:szCs w:val="32"/>
        </w:rPr>
        <w:t>台。</w:t>
      </w:r>
      <w:r>
        <w:rPr>
          <w:rFonts w:hint="eastAsia" w:ascii="仿宋" w:hAnsi="仿宋" w:eastAsia="仿宋" w:cs="仿宋"/>
          <w:bCs/>
          <w:kern w:val="0"/>
          <w:sz w:val="32"/>
          <w:szCs w:val="32"/>
          <w:highlight w:val="none"/>
        </w:rPr>
        <w:t>2021年拟新增配置公务用车</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辆，其中，机要通信用车</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辆，应急保障用车</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辆，执法执勤用车</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辆，特种专业技术用车</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辆，其他按照规定配备的公务用车</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辆；新增配备单位价值50万元以上通用设备</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台，单位价值100万元以上专用设备</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台。</w:t>
      </w:r>
    </w:p>
    <w:p>
      <w:pPr>
        <w:pStyle w:val="4"/>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bCs/>
          <w:sz w:val="32"/>
          <w:szCs w:val="32"/>
        </w:rPr>
        <w:t>（六）预算绩效目标说明：</w:t>
      </w:r>
      <w:r>
        <w:rPr>
          <w:rFonts w:hint="eastAsia" w:ascii="仿宋" w:hAnsi="仿宋" w:eastAsia="仿宋" w:cs="仿宋"/>
          <w:bCs/>
          <w:sz w:val="32"/>
          <w:szCs w:val="32"/>
        </w:rPr>
        <w:t>本部门所有支出实行绩效目标管理。纳入2021年部门整体支出绩效目标的金额为</w:t>
      </w:r>
      <w:r>
        <w:rPr>
          <w:rFonts w:ascii="仿宋" w:hAnsi="仿宋" w:eastAsia="仿宋" w:cs="仿宋"/>
          <w:sz w:val="32"/>
          <w:szCs w:val="32"/>
        </w:rPr>
        <w:t>4018.13</w:t>
      </w:r>
      <w:r>
        <w:rPr>
          <w:rFonts w:hint="eastAsia" w:ascii="仿宋" w:hAnsi="仿宋" w:eastAsia="仿宋" w:cs="仿宋"/>
          <w:bCs/>
          <w:sz w:val="32"/>
          <w:szCs w:val="32"/>
        </w:rPr>
        <w:t>万元，其中，基本支出</w:t>
      </w:r>
      <w:r>
        <w:rPr>
          <w:rFonts w:ascii="仿宋" w:hAnsi="仿宋" w:eastAsia="仿宋" w:cs="仿宋"/>
          <w:sz w:val="32"/>
          <w:szCs w:val="32"/>
        </w:rPr>
        <w:t>1652.3</w:t>
      </w:r>
      <w:r>
        <w:rPr>
          <w:rFonts w:hint="eastAsia" w:ascii="仿宋" w:hAnsi="仿宋" w:eastAsia="仿宋" w:cs="仿宋"/>
          <w:bCs/>
          <w:sz w:val="32"/>
          <w:szCs w:val="32"/>
        </w:rPr>
        <w:t>万元，项目支出</w:t>
      </w:r>
      <w:r>
        <w:rPr>
          <w:rFonts w:ascii="仿宋" w:hAnsi="仿宋" w:eastAsia="仿宋" w:cs="仿宋"/>
          <w:sz w:val="32"/>
          <w:szCs w:val="32"/>
        </w:rPr>
        <w:t>2365.83</w:t>
      </w:r>
      <w:r>
        <w:rPr>
          <w:rFonts w:hint="eastAsia" w:ascii="仿宋" w:hAnsi="仿宋" w:eastAsia="仿宋" w:cs="仿宋"/>
          <w:bCs/>
          <w:sz w:val="32"/>
          <w:szCs w:val="32"/>
        </w:rPr>
        <w:t>万元，其中：社会管理事务支出452.1万元、经济发展事务支出64.3万元、城市管理事务支出904.4万元、公用服务支出812万元、其他事务支出133万元。</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r>
        <w:rPr>
          <w:rFonts w:eastAsia="黑体"/>
          <w:sz w:val="32"/>
          <w:szCs w:val="32"/>
        </w:rPr>
        <w:t>七、名词解释</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sz w:val="32"/>
          <w:szCs w:val="32"/>
        </w:rPr>
      </w:pPr>
    </w:p>
    <w:p>
      <w:pPr>
        <w:pStyle w:val="4"/>
        <w:widowControl/>
        <w:shd w:val="clear" w:color="auto" w:fill="FFFFFF"/>
        <w:spacing w:before="24" w:beforeAutospacing="0" w:after="24" w:afterAutospacing="0" w:line="432" w:lineRule="atLeast"/>
        <w:ind w:firstLine="640" w:firstLineChars="200"/>
        <w:jc w:val="both"/>
        <w:rPr>
          <w:rFonts w:ascii="仿宋" w:hAnsi="仿宋" w:eastAsia="仿宋" w:cs="仿宋"/>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YTVmYTM1NDNlZmNkN2NiMDQ5ZTE5YTAzYjJlYzcifQ=="/>
  </w:docVars>
  <w:rsids>
    <w:rsidRoot w:val="0D0613B5"/>
    <w:rsid w:val="00402D03"/>
    <w:rsid w:val="004A51AA"/>
    <w:rsid w:val="00540E05"/>
    <w:rsid w:val="005D582D"/>
    <w:rsid w:val="00895CC8"/>
    <w:rsid w:val="00A908E1"/>
    <w:rsid w:val="0C3E3222"/>
    <w:rsid w:val="0D0613B5"/>
    <w:rsid w:val="5C1F7542"/>
    <w:rsid w:val="77E47F14"/>
    <w:rsid w:val="79940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7"/>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脚 字符"/>
    <w:basedOn w:val="6"/>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4069</Words>
  <Characters>4355</Characters>
  <Lines>32</Lines>
  <Paragraphs>9</Paragraphs>
  <TotalTime>3</TotalTime>
  <ScaleCrop>false</ScaleCrop>
  <LinksUpToDate>false</LinksUpToDate>
  <CharactersWithSpaces>4362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2022-06-28T15:20:00Z</dcterms:created>
  <dc:creator>燕子</dc:creator>
  <cp:lastModifiedBy>Hunk</cp:lastModifiedBy>
  <dcterms:modified xsi:type="dcterms:W3CDTF">2022-08-19T02:57:20Z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F82E361097E84DBE9A058E3DCBF3206A</vt:lpwstr>
  </property>
</Properties>
</file>