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outlineLvl w:val="9"/>
        <w:rPr>
          <w:rFonts w:hint="eastAsia" w:ascii="黑体" w:hAnsi="黑体" w:eastAsia="黑体" w:cs="黑体"/>
          <w:bCs/>
          <w:color w:val="000000" w:themeColor="text1"/>
          <w:kern w:val="0"/>
          <w:sz w:val="48"/>
          <w:szCs w:val="48"/>
          <w:lang w:val="en-US" w:eastAsia="zh-CN"/>
          <w14:textFill>
            <w14:solidFill>
              <w14:schemeClr w14:val="tx1"/>
            </w14:solidFill>
          </w14:textFill>
        </w:rPr>
      </w:pPr>
      <w:r>
        <w:rPr>
          <w:rFonts w:hint="eastAsia" w:ascii="黑体" w:hAnsi="黑体" w:eastAsia="黑体" w:cs="黑体"/>
          <w:bCs/>
          <w:color w:val="000000" w:themeColor="text1"/>
          <w:kern w:val="0"/>
          <w:sz w:val="48"/>
          <w:szCs w:val="48"/>
          <w:lang w:val="en-US" w:eastAsia="zh-CN"/>
          <w14:textFill>
            <w14:solidFill>
              <w14:schemeClr w14:val="tx1"/>
            </w14:solidFill>
          </w14:textFill>
        </w:rPr>
        <w:t>2020年长沙市开福区洪山管理局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outlineLvl w:val="9"/>
        <w:rPr>
          <w:rFonts w:hint="eastAsia" w:ascii="黑体" w:hAnsi="黑体" w:eastAsia="黑体" w:cs="黑体"/>
          <w:bCs/>
          <w:color w:val="000000" w:themeColor="text1"/>
          <w:kern w:val="0"/>
          <w:sz w:val="48"/>
          <w:szCs w:val="48"/>
          <w:lang w:val="en-US" w:eastAsia="zh-CN"/>
          <w14:textFill>
            <w14:solidFill>
              <w14:schemeClr w14:val="tx1"/>
            </w14:solidFill>
          </w14:textFill>
        </w:rPr>
      </w:pPr>
      <w:r>
        <w:rPr>
          <w:rFonts w:hint="eastAsia" w:ascii="黑体" w:hAnsi="黑体" w:eastAsia="黑体" w:cs="黑体"/>
          <w:bCs/>
          <w:color w:val="000000" w:themeColor="text1"/>
          <w:kern w:val="0"/>
          <w:sz w:val="48"/>
          <w:szCs w:val="48"/>
          <w:lang w:val="en-US" w:eastAsia="zh-CN"/>
          <w14:textFill>
            <w14:solidFill>
              <w14:schemeClr w14:val="tx1"/>
            </w14:solidFill>
          </w14:textFill>
        </w:rPr>
        <w:t>部门决算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                      目 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color w:val="000000" w:themeColor="text1"/>
          <w:kern w:val="0"/>
          <w:sz w:val="32"/>
          <w:szCs w:val="32"/>
          <w:lang w:val="en-US" w:eastAsia="zh-CN"/>
          <w14:textFill>
            <w14:solidFill>
              <w14:schemeClr w14:val="tx1"/>
            </w14:solidFill>
          </w14:textFill>
        </w:rPr>
      </w:pPr>
      <w:r>
        <w:rPr>
          <w:rFonts w:hint="eastAsia" w:ascii="黑体" w:hAnsi="黑体" w:eastAsia="黑体" w:cs="黑体"/>
          <w:b/>
          <w:bCs/>
          <w:color w:val="000000" w:themeColor="text1"/>
          <w:kern w:val="0"/>
          <w:sz w:val="32"/>
          <w:szCs w:val="32"/>
          <w:lang w:val="en-US" w:eastAsia="zh-CN"/>
          <w14:textFill>
            <w14:solidFill>
              <w14:schemeClr w14:val="tx1"/>
            </w14:solidFill>
          </w14:textFill>
        </w:rPr>
        <w:t>第一部分 洪山管理局部门概况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一、部门职责</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第二部分 部门决算表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二、收入决算表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四、财政拨款收入支出决算总表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五、一般公共预算财政拨款支出决算表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六、一般公共预算财政拨款基本支出决算表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八、政府性基金预算财政拨款收入支出决算表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w:t>
      </w:r>
      <w:r>
        <w:rPr>
          <w:rFonts w:hint="eastAsia" w:ascii="仿宋" w:hAnsi="仿宋" w:eastAsia="仿宋" w:cs="仿宋"/>
          <w:color w:val="000000" w:themeColor="text1"/>
          <w:sz w:val="32"/>
          <w:szCs w:val="32"/>
          <w:highlight w:val="none"/>
          <w14:textFill>
            <w14:solidFill>
              <w14:schemeClr w14:val="tx1"/>
            </w14:solidFill>
          </w14:textFill>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 xml:space="preserve">第三部分 </w:t>
      </w:r>
      <w:r>
        <w:rPr>
          <w:rFonts w:hint="eastAsia" w:ascii="黑体" w:hAnsi="黑体" w:eastAsia="黑体" w:cs="黑体"/>
          <w:b/>
          <w:bCs/>
          <w:color w:val="000000" w:themeColor="text1"/>
          <w:kern w:val="0"/>
          <w:sz w:val="32"/>
          <w:szCs w:val="32"/>
          <w:lang w:val="en-US" w:eastAsia="zh-CN"/>
          <w14:textFill>
            <w14:solidFill>
              <w14:schemeClr w14:val="tx1"/>
            </w14:solidFill>
          </w14:textFill>
        </w:rPr>
        <w:t>2020</w:t>
      </w:r>
      <w:r>
        <w:rPr>
          <w:rFonts w:hint="eastAsia" w:ascii="黑体" w:hAnsi="黑体" w:eastAsia="黑体" w:cs="黑体"/>
          <w:b/>
          <w:bCs/>
          <w:color w:val="000000" w:themeColor="text1"/>
          <w:kern w:val="0"/>
          <w:sz w:val="32"/>
          <w:szCs w:val="32"/>
          <w14:textFill>
            <w14:solidFill>
              <w14:schemeClr w14:val="tx1"/>
            </w14:solidFill>
          </w14:textFill>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二、收入决算情况说明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四、财政拨款收入支出决算总体情况说明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五、一般公共预算财政拨款支出决算情况说明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八、政府性基金预算收入支出决算情况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九、关于2020年度预算绩效情况的说明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w:t>
      </w:r>
      <w:r>
        <w:rPr>
          <w:rFonts w:hint="eastAsia" w:ascii="仿宋" w:hAnsi="仿宋" w:eastAsia="仿宋" w:cs="仿宋"/>
          <w:color w:val="000000" w:themeColor="text1"/>
          <w:kern w:val="0"/>
          <w:sz w:val="32"/>
          <w:szCs w:val="32"/>
          <w14:textFill>
            <w14:solidFill>
              <w14:schemeClr w14:val="tx1"/>
            </w14:solidFill>
          </w14:textFill>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第五部分 附件</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hAnsi="黑体" w:eastAsia="黑体" w:cs="黑体"/>
          <w:b/>
          <w:bCs w:val="0"/>
          <w:color w:val="000000" w:themeColor="text1"/>
          <w:kern w:val="0"/>
          <w:sz w:val="44"/>
          <w:szCs w:val="44"/>
          <w:lang w:val="en-US" w:eastAsia="zh-CN"/>
          <w14:textFill>
            <w14:solidFill>
              <w14:schemeClr w14:val="tx1"/>
            </w14:solidFill>
          </w14:textFill>
        </w:rPr>
      </w:pPr>
      <w:r>
        <w:rPr>
          <w:rFonts w:hint="eastAsia" w:ascii="黑体" w:hAnsi="黑体" w:eastAsia="黑体" w:cs="黑体"/>
          <w:b/>
          <w:bCs w:val="0"/>
          <w:color w:val="000000" w:themeColor="text1"/>
          <w:kern w:val="0"/>
          <w:sz w:val="44"/>
          <w:szCs w:val="44"/>
          <w:lang w:val="en-US" w:eastAsia="zh-CN"/>
          <w14:textFill>
            <w14:solidFill>
              <w14:schemeClr w14:val="tx1"/>
            </w14:solidFill>
          </w14:textFill>
        </w:rPr>
        <w:t>第一部分 长沙市洪山管理局概况</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
          <w:bCs w:val="0"/>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 长沙洪山管理局前身为成立于1957年的长沙市国营综合农场。1996年为适应发展需要，在其基础上成立长沙市洪山旅游区管理局，两块牌子、一套人马。2005年，洪山旅游区管理局更名为洪山管理局，同时成立洪山街道办事处，作为区委、政府的派出机构，与洪山管理局合署办公，领导交叉任职；2013年洪山管理局析置为三个街道办事处。继续保留洪山管理局，继续行使原综合农场农垦集体经济组织管理的职能、原综合农场体制改革人员管理、集体企业管理、历史遗留问题处理等。</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二、机构设置及决算单位构成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（一）内设机构设置。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 本部门由1个行政单位及4个二级机构组成，二级机构包括：党政办，财务科，综合科，建设管理科，综合科。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党政办：机关党务及行政事务、宣传、网络安全、会务、督查督办、党务政务公开、机关后勤等工作。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财务科：财务管理、账务处理等工作。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综合科：信访维稳等工作。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建设管理科:自然资源管理，规划建设、征收拆迁安置、档案管理等工作。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（二）决算单位构成。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 洪山管理局2020年部门决算汇总公开单位机构包括：洪山管理局单位本级，无二级预算单位。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  </w:t>
      </w:r>
      <w:r>
        <w:rPr>
          <w:rFonts w:hint="eastAsia" w:ascii="黑体" w:hAnsi="黑体" w:eastAsia="黑体" w:cs="黑体"/>
          <w:b/>
          <w:bCs/>
          <w:color w:val="000000" w:themeColor="text1"/>
          <w:sz w:val="44"/>
          <w:szCs w:val="44"/>
          <w14:textFill>
            <w14:solidFill>
              <w14:schemeClr w14:val="tx1"/>
            </w14:solidFill>
          </w14:textFill>
        </w:rPr>
        <w:t>第二部分</w:t>
      </w:r>
      <w:r>
        <w:rPr>
          <w:rFonts w:hint="eastAsia" w:hAnsi="黑体" w:cs="黑体"/>
          <w:b/>
          <w:bCs/>
          <w:color w:val="000000" w:themeColor="text1"/>
          <w:sz w:val="44"/>
          <w:szCs w:val="44"/>
          <w:lang w:val="en-US" w:eastAsia="zh-CN"/>
          <w14:textFill>
            <w14:solidFill>
              <w14:schemeClr w14:val="tx1"/>
            </w14:solidFill>
          </w14:textFill>
        </w:rPr>
        <w:t xml:space="preserve"> </w:t>
      </w:r>
      <w:r>
        <w:rPr>
          <w:rFonts w:hint="eastAsia" w:ascii="黑体" w:hAnsi="黑体" w:eastAsia="黑体" w:cs="黑体"/>
          <w:b/>
          <w:bCs/>
          <w:color w:val="000000" w:themeColor="text1"/>
          <w:sz w:val="44"/>
          <w:szCs w:val="44"/>
          <w14:textFill>
            <w14:solidFill>
              <w14:schemeClr w14:val="tx1"/>
            </w14:solidFill>
          </w14:textFill>
        </w:rPr>
        <w:t>部门决算表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（详见附件）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bidi w:val="0"/>
        <w:snapToGrid/>
        <w:spacing w:line="600" w:lineRule="exact"/>
        <w:ind w:firstLine="883" w:firstLineChars="200"/>
        <w:jc w:val="both"/>
        <w:textAlignment w:val="auto"/>
        <w:rPr>
          <w:rFonts w:hint="eastAsia" w:ascii="黑体" w:eastAsia="黑体" w:cs="黑体"/>
          <w:color w:val="000000" w:themeColor="text1"/>
          <w:kern w:val="0"/>
          <w:sz w:val="70"/>
          <w:szCs w:val="70"/>
          <w14:textFill>
            <w14:solidFill>
              <w14:schemeClr w14:val="tx1"/>
            </w14:solidFill>
          </w14:textFill>
        </w:rPr>
      </w:pPr>
      <w:r>
        <w:rPr>
          <w:rFonts w:hint="eastAsia" w:ascii="黑体" w:hAnsi="黑体" w:eastAsia="黑体" w:cs="黑体"/>
          <w:b/>
          <w:bCs w:val="0"/>
          <w:color w:val="000000" w:themeColor="text1"/>
          <w:kern w:val="0"/>
          <w:sz w:val="44"/>
          <w:szCs w:val="44"/>
          <w14:textFill>
            <w14:solidFill>
              <w14:schemeClr w14:val="tx1"/>
            </w14:solidFill>
          </w14:textFill>
        </w:rPr>
        <w:t xml:space="preserve">第三部分 </w:t>
      </w:r>
      <w:r>
        <w:rPr>
          <w:rFonts w:hint="eastAsia" w:ascii="黑体" w:hAnsi="黑体" w:eastAsia="黑体" w:cs="黑体"/>
          <w:b/>
          <w:bCs w:val="0"/>
          <w:color w:val="000000" w:themeColor="text1"/>
          <w:kern w:val="0"/>
          <w:sz w:val="44"/>
          <w:szCs w:val="44"/>
          <w:lang w:val="en-US" w:eastAsia="zh-CN"/>
          <w14:textFill>
            <w14:solidFill>
              <w14:schemeClr w14:val="tx1"/>
            </w14:solidFill>
          </w14:textFill>
        </w:rPr>
        <w:t>2020</w:t>
      </w:r>
      <w:r>
        <w:rPr>
          <w:rFonts w:hint="eastAsia" w:ascii="黑体" w:hAnsi="黑体" w:eastAsia="黑体" w:cs="黑体"/>
          <w:b/>
          <w:bCs w:val="0"/>
          <w:color w:val="000000" w:themeColor="text1"/>
          <w:kern w:val="0"/>
          <w:sz w:val="44"/>
          <w:szCs w:val="44"/>
          <w14:textFill>
            <w14:solidFill>
              <w14:schemeClr w14:val="tx1"/>
            </w14:solidFill>
          </w14:textFill>
        </w:rPr>
        <w:t>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2020年实际收入合计22514.92万元，与2019年相比，增长</w:t>
      </w:r>
      <w:r>
        <w:rPr>
          <w:rFonts w:hint="eastAsia" w:ascii="仿宋" w:hAnsi="仿宋" w:eastAsia="仿宋" w:cs="仿宋"/>
          <w:color w:val="000000" w:themeColor="text1"/>
          <w:kern w:val="0"/>
          <w:sz w:val="32"/>
          <w:szCs w:val="32"/>
          <w:lang w:val="en-US" w:eastAsia="zh-CN" w:bidi="ar-SA"/>
          <w14:textFill>
            <w14:solidFill>
              <w14:schemeClr w14:val="tx1"/>
            </w14:solidFill>
          </w14:textFill>
        </w:rPr>
        <w:t>586.7</w:t>
      </w:r>
      <w:r>
        <w:rPr>
          <w:rFonts w:hint="eastAsia" w:ascii="仿宋" w:hAnsi="仿宋" w:eastAsia="仿宋" w:cs="仿宋"/>
          <w:color w:val="000000" w:themeColor="text1"/>
          <w:kern w:val="0"/>
          <w:sz w:val="32"/>
          <w:szCs w:val="32"/>
          <w:lang w:val="en-US" w:eastAsia="zh-CN" w:bidi="ar-SA"/>
          <w14:textFill>
            <w14:solidFill>
              <w14:schemeClr w14:val="tx1"/>
            </w14:solidFill>
          </w14:textFill>
        </w:rPr>
        <w:t>%，其中22513.15万元为财政拨款（财政补助）收入，其他收入1.77万元。本年支出合计22514.92万元，与2019年相比，增长</w:t>
      </w:r>
      <w:r>
        <w:rPr>
          <w:rFonts w:hint="eastAsia" w:ascii="仿宋" w:hAnsi="仿宋" w:eastAsia="仿宋" w:cs="仿宋"/>
          <w:color w:val="000000" w:themeColor="text1"/>
          <w:kern w:val="0"/>
          <w:sz w:val="32"/>
          <w:szCs w:val="32"/>
          <w:lang w:val="en-US" w:eastAsia="zh-CN" w:bidi="ar-SA"/>
          <w14:textFill>
            <w14:solidFill>
              <w14:schemeClr w14:val="tx1"/>
            </w14:solidFill>
          </w14:textFill>
        </w:rPr>
        <w:t>586.7</w:t>
      </w:r>
      <w:r>
        <w:rPr>
          <w:rFonts w:hint="eastAsia" w:ascii="仿宋" w:hAnsi="仿宋" w:eastAsia="仿宋" w:cs="仿宋"/>
          <w:color w:val="000000" w:themeColor="text1"/>
          <w:kern w:val="0"/>
          <w:sz w:val="32"/>
          <w:szCs w:val="32"/>
          <w:lang w:val="en-US" w:eastAsia="zh-CN" w:bidi="ar-SA"/>
          <w14:textFill>
            <w14:solidFill>
              <w14:schemeClr w14:val="tx1"/>
            </w14:solidFill>
          </w14:textFill>
        </w:rPr>
        <w:t>%，其中一般公共服务支出22321.71万元，农林水支出191.44万元，其他支出1.77万元。收入支出较2019年增加19236.23万元，收入增加的主要原因是：2020年支出金马美食城专项经费20000万元。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本年收入合计22514.92万元，其中财政拨款（财政补助）收入22513.15万元，占99.99%，</w:t>
      </w:r>
      <w:r>
        <w:rPr>
          <w:rFonts w:hint="eastAsia" w:ascii="仿宋" w:hAnsi="仿宋" w:eastAsia="仿宋" w:cs="仿宋"/>
          <w:color w:val="000000" w:themeColor="text1"/>
          <w:sz w:val="32"/>
          <w:szCs w:val="32"/>
          <w:u w:val="none"/>
          <w14:textFill>
            <w14:solidFill>
              <w14:schemeClr w14:val="tx1"/>
            </w14:solidFill>
          </w14:textFill>
        </w:rPr>
        <w:t>上级补助收入</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%；事业收入</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%；经营收入</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%；附属单位上缴收入</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w:t>
      </w:r>
      <w:r>
        <w:rPr>
          <w:rFonts w:hint="eastAsia" w:ascii="仿宋" w:hAnsi="仿宋" w:eastAsia="仿宋" w:cs="仿宋"/>
          <w:color w:val="000000" w:themeColor="text1"/>
          <w:kern w:val="0"/>
          <w:sz w:val="32"/>
          <w:szCs w:val="32"/>
          <w:lang w:val="en-US" w:eastAsia="zh-CN" w:bidi="ar-SA"/>
          <w14:textFill>
            <w14:solidFill>
              <w14:schemeClr w14:val="tx1"/>
            </w14:solidFill>
          </w14:textFill>
        </w:rPr>
        <w:t>其他收入1.77万元，占0.01%。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三、支出决算情况说明</w:t>
      </w:r>
    </w:p>
    <w:p>
      <w:pPr>
        <w:pStyle w:val="6"/>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本年支出合计22514.92万元，</w:t>
      </w: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其中：</w:t>
      </w:r>
      <w:r>
        <w:rPr>
          <w:rFonts w:hint="eastAsia" w:ascii="仿宋" w:hAnsi="仿宋" w:eastAsia="仿宋" w:cs="仿宋"/>
          <w:color w:val="000000" w:themeColor="text1"/>
          <w:sz w:val="32"/>
          <w:szCs w:val="32"/>
          <w:u w:val="none"/>
          <w14:textFill>
            <w14:solidFill>
              <w14:schemeClr w14:val="tx1"/>
            </w14:solidFill>
          </w14:textFill>
        </w:rPr>
        <w:t>基本支出</w:t>
      </w:r>
      <w:r>
        <w:rPr>
          <w:rFonts w:hint="eastAsia" w:ascii="仿宋" w:hAnsi="仿宋" w:eastAsia="仿宋" w:cs="仿宋"/>
          <w:color w:val="000000" w:themeColor="text1"/>
          <w:sz w:val="32"/>
          <w:szCs w:val="32"/>
          <w:u w:val="none"/>
          <w:lang w:val="en-US" w:eastAsia="zh-CN"/>
          <w14:textFill>
            <w14:solidFill>
              <w14:schemeClr w14:val="tx1"/>
            </w14:solidFill>
          </w14:textFill>
        </w:rPr>
        <w:t>2200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9.77</w:t>
      </w:r>
      <w:r>
        <w:rPr>
          <w:rFonts w:hint="eastAsia" w:ascii="仿宋" w:hAnsi="仿宋" w:eastAsia="仿宋" w:cs="仿宋"/>
          <w:color w:val="000000" w:themeColor="text1"/>
          <w:sz w:val="32"/>
          <w:szCs w:val="32"/>
          <w:u w:val="none"/>
          <w14:textFill>
            <w14:solidFill>
              <w14:schemeClr w14:val="tx1"/>
            </w14:solidFill>
          </w14:textFill>
        </w:rPr>
        <w:t>%；项目支出</w:t>
      </w:r>
      <w:r>
        <w:rPr>
          <w:rFonts w:hint="eastAsia" w:ascii="仿宋" w:hAnsi="仿宋" w:eastAsia="仿宋" w:cs="仿宋"/>
          <w:color w:val="000000" w:themeColor="text1"/>
          <w:sz w:val="32"/>
          <w:szCs w:val="32"/>
          <w:u w:val="none"/>
          <w:lang w:val="en-US" w:eastAsia="zh-CN"/>
          <w14:textFill>
            <w14:solidFill>
              <w14:schemeClr w14:val="tx1"/>
            </w14:solidFill>
          </w14:textFill>
        </w:rPr>
        <w:t>20314.92</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90.23</w:t>
      </w:r>
      <w:r>
        <w:rPr>
          <w:rFonts w:hint="eastAsia" w:ascii="仿宋" w:hAnsi="仿宋" w:eastAsia="仿宋" w:cs="仿宋"/>
          <w:color w:val="000000" w:themeColor="text1"/>
          <w:sz w:val="32"/>
          <w:szCs w:val="32"/>
          <w:u w:val="none"/>
          <w14:textFill>
            <w14:solidFill>
              <w14:schemeClr w14:val="tx1"/>
            </w14:solidFill>
          </w14:textFill>
        </w:rPr>
        <w:t>%；上缴上级支出</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%；经营支出</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%；对附属单位补助支出</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2020年度财政拨款收入总计</w:t>
      </w:r>
      <w:r>
        <w:rPr>
          <w:rFonts w:hint="eastAsia" w:ascii="仿宋" w:hAnsi="仿宋" w:eastAsia="仿宋" w:cs="仿宋"/>
          <w:color w:val="000000" w:themeColor="text1"/>
          <w:kern w:val="0"/>
          <w:sz w:val="32"/>
          <w:szCs w:val="32"/>
          <w:lang w:val="en-US" w:eastAsia="zh-CN" w:bidi="ar-SA"/>
          <w14:textFill>
            <w14:solidFill>
              <w14:schemeClr w14:val="tx1"/>
            </w14:solidFill>
          </w14:textFill>
        </w:rPr>
        <w:t>22513.15</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万元，与2019相比，</w:t>
      </w:r>
      <w:r>
        <w:rPr>
          <w:rFonts w:hint="eastAsia" w:ascii="仿宋" w:hAnsi="仿宋" w:eastAsia="仿宋" w:cs="仿宋"/>
          <w:color w:val="000000" w:themeColor="text1"/>
          <w:kern w:val="0"/>
          <w:sz w:val="32"/>
          <w:szCs w:val="32"/>
          <w:lang w:val="en-US" w:eastAsia="zh-CN" w:bidi="ar-SA"/>
          <w14:textFill>
            <w14:solidFill>
              <w14:schemeClr w14:val="tx1"/>
            </w14:solidFill>
          </w14:textFill>
        </w:rPr>
        <w:t>增加19527.4万元，增长654.02%</w:t>
      </w:r>
      <w:r>
        <w:rPr>
          <w:rFonts w:hint="eastAsia" w:ascii="仿宋" w:hAnsi="仿宋" w:eastAsia="仿宋" w:cs="仿宋"/>
          <w:color w:val="000000" w:themeColor="text1"/>
          <w:kern w:val="0"/>
          <w:sz w:val="32"/>
          <w:szCs w:val="32"/>
          <w:lang w:val="en-US" w:eastAsia="zh-CN" w:bidi="ar-SA"/>
          <w14:textFill>
            <w14:solidFill>
              <w14:schemeClr w14:val="tx1"/>
            </w14:solidFill>
          </w14:textFill>
        </w:rPr>
        <w:t>。2020年度财政拨款总支出22513.15万元，与2019相比，</w:t>
      </w:r>
      <w:r>
        <w:rPr>
          <w:rFonts w:hint="eastAsia" w:ascii="仿宋" w:hAnsi="仿宋" w:eastAsia="仿宋" w:cs="仿宋"/>
          <w:color w:val="000000" w:themeColor="text1"/>
          <w:kern w:val="0"/>
          <w:sz w:val="32"/>
          <w:szCs w:val="32"/>
          <w:lang w:val="en-US" w:eastAsia="zh-CN" w:bidi="ar-SA"/>
          <w14:textFill>
            <w14:solidFill>
              <w14:schemeClr w14:val="tx1"/>
            </w14:solidFill>
          </w14:textFill>
        </w:rPr>
        <w:t>增加19527.4万元，增长654.02%</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。主要原因是2020年金马美食城专项经费支出20000万元。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 </w:t>
      </w:r>
      <w:r>
        <w:rPr>
          <w:rFonts w:hint="eastAsia" w:ascii="黑体" w:hAnsi="黑体" w:eastAsia="黑体" w:cs="黑体"/>
          <w:color w:val="000000" w:themeColor="text1"/>
          <w:kern w:val="0"/>
          <w:sz w:val="32"/>
          <w:szCs w:val="32"/>
          <w:lang w:val="en-US" w:eastAsia="zh-CN" w:bidi="ar-SA"/>
          <w14:textFill>
            <w14:solidFill>
              <w14:schemeClr w14:val="tx1"/>
            </w14:solidFill>
          </w14:textFill>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outlineLvl w:val="9"/>
        <w:rPr>
          <w:rFonts w:hint="eastAsia" w:ascii="仿宋" w:hAnsi="仿宋" w:eastAsia="仿宋" w:cs="仿宋"/>
          <w:b/>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  2020年财政拨款支出22513.15万元，占本年支出合计的</w:t>
      </w:r>
      <w:r>
        <w:rPr>
          <w:rFonts w:hint="eastAsia" w:ascii="仿宋" w:hAnsi="仿宋" w:eastAsia="仿宋" w:cs="仿宋"/>
          <w:color w:val="000000" w:themeColor="text1"/>
          <w:kern w:val="0"/>
          <w:sz w:val="32"/>
          <w:szCs w:val="32"/>
          <w:lang w:val="en-US" w:eastAsia="zh-CN" w:bidi="ar-SA"/>
          <w14:textFill>
            <w14:solidFill>
              <w14:schemeClr w14:val="tx1"/>
            </w14:solidFill>
          </w14:textFill>
        </w:rPr>
        <w:t>99.99</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%，与2019年相比财政拨款支出增加19527.4万元，</w:t>
      </w:r>
      <w:r>
        <w:rPr>
          <w:rFonts w:hint="eastAsia" w:ascii="仿宋" w:hAnsi="仿宋" w:eastAsia="仿宋" w:cs="仿宋"/>
          <w:color w:val="000000" w:themeColor="text1"/>
          <w:kern w:val="0"/>
          <w:sz w:val="32"/>
          <w:szCs w:val="32"/>
          <w:lang w:val="en-US" w:eastAsia="zh-CN" w:bidi="ar-SA"/>
          <w14:textFill>
            <w14:solidFill>
              <w14:schemeClr w14:val="tx1"/>
            </w14:solidFill>
          </w14:textFill>
        </w:rPr>
        <w:t>增长654.02%，</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主要是因为2020年金马美食城专项经费支出20000万元。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2020年财政拨款支出22513.15万元，主要用于以下方面：一般公共服务支出22321.71万元，占</w:t>
      </w:r>
      <w:r>
        <w:rPr>
          <w:rFonts w:hint="eastAsia" w:ascii="仿宋" w:hAnsi="仿宋" w:eastAsia="仿宋" w:cs="仿宋"/>
          <w:color w:val="000000" w:themeColor="text1"/>
          <w:kern w:val="0"/>
          <w:sz w:val="32"/>
          <w:szCs w:val="32"/>
          <w:lang w:val="en-US" w:eastAsia="zh-CN" w:bidi="ar-SA"/>
          <w14:textFill>
            <w14:solidFill>
              <w14:schemeClr w14:val="tx1"/>
            </w14:solidFill>
          </w14:textFill>
        </w:rPr>
        <w:t>99.15%</w:t>
      </w:r>
      <w:r>
        <w:rPr>
          <w:rFonts w:hint="eastAsia" w:ascii="仿宋" w:hAnsi="仿宋" w:eastAsia="仿宋" w:cs="仿宋"/>
          <w:color w:val="000000" w:themeColor="text1"/>
          <w:kern w:val="0"/>
          <w:sz w:val="32"/>
          <w:szCs w:val="32"/>
          <w:lang w:val="en-US" w:eastAsia="zh-CN" w:bidi="ar-SA"/>
          <w14:textFill>
            <w14:solidFill>
              <w14:schemeClr w14:val="tx1"/>
            </w14:solidFill>
          </w14:textFill>
        </w:rPr>
        <w:t>，,农林水支出191.44万元，占0.85%。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（三）财政拨款支出决算具体情况</w:t>
      </w:r>
      <w:r>
        <w:rPr>
          <w:rFonts w:hint="eastAsia" w:ascii="仿宋" w:hAnsi="仿宋" w:eastAsia="仿宋" w:cs="仿宋"/>
          <w:color w:val="000000" w:themeColor="text1"/>
          <w:kern w:val="0"/>
          <w:sz w:val="32"/>
          <w:szCs w:val="32"/>
          <w:lang w:val="en-US" w:eastAsia="zh-CN" w:bidi="ar-SA"/>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default"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2020年财政体制拨款年初预算数</w:t>
      </w:r>
      <w:r>
        <w:rPr>
          <w:rFonts w:hint="eastAsia" w:ascii="仿宋" w:hAnsi="仿宋" w:eastAsia="仿宋" w:cs="仿宋"/>
          <w:color w:val="000000" w:themeColor="text1"/>
          <w:kern w:val="0"/>
          <w:sz w:val="32"/>
          <w:szCs w:val="32"/>
          <w:lang w:val="en-US" w:eastAsia="zh-CN" w:bidi="ar-SA"/>
          <w14:textFill>
            <w14:solidFill>
              <w14:schemeClr w14:val="tx1"/>
            </w14:solidFill>
          </w14:textFill>
        </w:rPr>
        <w:t>2552.73</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万元，支出决算数22513.15万元，完成年初预算数</w:t>
      </w:r>
      <w:r>
        <w:rPr>
          <w:rFonts w:hint="eastAsia" w:ascii="仿宋" w:hAnsi="仿宋" w:eastAsia="仿宋" w:cs="仿宋"/>
          <w:color w:val="000000" w:themeColor="text1"/>
          <w:kern w:val="0"/>
          <w:sz w:val="32"/>
          <w:szCs w:val="32"/>
          <w:lang w:val="en-US" w:eastAsia="zh-CN" w:bidi="ar-SA"/>
          <w14:textFill>
            <w14:solidFill>
              <w14:schemeClr w14:val="tx1"/>
            </w14:solidFill>
          </w14:textFill>
        </w:rPr>
        <w:t>881.92</w:t>
      </w:r>
      <w:r>
        <w:rPr>
          <w:rFonts w:hint="eastAsia" w:ascii="仿宋" w:hAnsi="仿宋" w:eastAsia="仿宋" w:cs="仿宋"/>
          <w:color w:val="000000" w:themeColor="text1"/>
          <w:kern w:val="0"/>
          <w:sz w:val="32"/>
          <w:szCs w:val="32"/>
          <w:lang w:val="en-US" w:eastAsia="zh-CN" w:bidi="ar-SA"/>
          <w14:textFill>
            <w14:solidFill>
              <w14:schemeClr w14:val="tx1"/>
            </w14:solidFill>
          </w14:textFill>
        </w:rPr>
        <w:t>%，其中：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default"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1、一般公共服务类</w:t>
      </w:r>
      <w:r>
        <w:rPr>
          <w:rFonts w:hint="eastAsia" w:ascii="仿宋" w:hAnsi="仿宋" w:eastAsia="仿宋" w:cs="仿宋"/>
          <w:color w:val="000000" w:themeColor="text1"/>
          <w:kern w:val="0"/>
          <w:sz w:val="32"/>
          <w:szCs w:val="32"/>
          <w:lang w:val="en-US" w:eastAsia="zh-CN" w:bidi="ar-SA"/>
          <w14:textFill>
            <w14:solidFill>
              <w14:schemeClr w14:val="tx1"/>
            </w14:solidFill>
          </w14:textFill>
        </w:rPr>
        <w:t>（类）政府办公厅（室）及相关机构事务（款）</w:t>
      </w:r>
      <w:r>
        <w:rPr>
          <w:rFonts w:hint="eastAsia" w:ascii="仿宋" w:hAnsi="仿宋" w:eastAsia="仿宋" w:cs="仿宋"/>
          <w:color w:val="000000" w:themeColor="text1"/>
          <w:kern w:val="0"/>
          <w:sz w:val="32"/>
          <w:szCs w:val="32"/>
          <w:lang w:val="en-US" w:eastAsia="zh-CN" w:bidi="ar-SA"/>
          <w14:textFill>
            <w14:solidFill>
              <w14:schemeClr w14:val="tx1"/>
            </w14:solidFill>
          </w14:textFill>
        </w:rPr>
        <w:t>行政运行</w:t>
      </w:r>
      <w:r>
        <w:rPr>
          <w:rFonts w:hint="eastAsia" w:ascii="仿宋" w:hAnsi="仿宋" w:eastAsia="仿宋" w:cs="仿宋"/>
          <w:color w:val="000000" w:themeColor="text1"/>
          <w:kern w:val="0"/>
          <w:sz w:val="32"/>
          <w:szCs w:val="32"/>
          <w:lang w:val="en-US" w:eastAsia="zh-CN" w:bidi="ar-SA"/>
          <w14:textFill>
            <w14:solidFill>
              <w14:schemeClr w14:val="tx1"/>
            </w14:solidFill>
          </w14:textFill>
        </w:rPr>
        <w:t>（项）</w:t>
      </w:r>
      <w:r>
        <w:rPr>
          <w:rFonts w:hint="eastAsia" w:ascii="仿宋" w:hAnsi="仿宋" w:eastAsia="仿宋" w:cs="仿宋"/>
          <w:color w:val="000000" w:themeColor="text1"/>
          <w:kern w:val="0"/>
          <w:sz w:val="32"/>
          <w:szCs w:val="32"/>
          <w:lang w:val="en-US" w:eastAsia="zh-CN" w:bidi="ar-SA"/>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年初预算数</w:t>
      </w:r>
      <w:r>
        <w:rPr>
          <w:rFonts w:hint="eastAsia" w:ascii="仿宋" w:hAnsi="仿宋" w:eastAsia="仿宋" w:cs="仿宋"/>
          <w:color w:val="000000" w:themeColor="text1"/>
          <w:kern w:val="0"/>
          <w:sz w:val="32"/>
          <w:szCs w:val="32"/>
          <w:lang w:val="en-US" w:eastAsia="zh-CN" w:bidi="ar-SA"/>
          <w14:textFill>
            <w14:solidFill>
              <w14:schemeClr w14:val="tx1"/>
            </w14:solidFill>
          </w14:textFill>
        </w:rPr>
        <w:t>690.25</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万元，支出决算数</w:t>
      </w:r>
      <w:r>
        <w:rPr>
          <w:rFonts w:hint="eastAsia" w:ascii="仿宋" w:hAnsi="仿宋" w:eastAsia="仿宋" w:cs="仿宋"/>
          <w:color w:val="000000" w:themeColor="text1"/>
          <w:kern w:val="0"/>
          <w:sz w:val="32"/>
          <w:szCs w:val="32"/>
          <w:lang w:val="en-US" w:eastAsia="zh-CN" w:bidi="ar-SA"/>
          <w14:textFill>
            <w14:solidFill>
              <w14:schemeClr w14:val="tx1"/>
            </w14:solidFill>
          </w14:textFill>
        </w:rPr>
        <w:t>2200</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万元，完成年初预算数的</w:t>
      </w:r>
      <w:r>
        <w:rPr>
          <w:rFonts w:hint="eastAsia" w:ascii="仿宋" w:hAnsi="仿宋" w:eastAsia="仿宋" w:cs="仿宋"/>
          <w:color w:val="000000" w:themeColor="text1"/>
          <w:kern w:val="0"/>
          <w:sz w:val="32"/>
          <w:szCs w:val="32"/>
          <w:lang w:val="en-US" w:eastAsia="zh-CN" w:bidi="ar-SA"/>
          <w14:textFill>
            <w14:solidFill>
              <w14:schemeClr w14:val="tx1"/>
            </w14:solidFill>
          </w14:textFill>
        </w:rPr>
        <w:t>318.73</w:t>
      </w:r>
      <w:r>
        <w:rPr>
          <w:rFonts w:hint="eastAsia" w:ascii="仿宋" w:hAnsi="仿宋" w:eastAsia="仿宋" w:cs="仿宋"/>
          <w:color w:val="000000" w:themeColor="text1"/>
          <w:kern w:val="0"/>
          <w:sz w:val="32"/>
          <w:szCs w:val="32"/>
          <w:lang w:val="en-US" w:eastAsia="zh-CN" w:bidi="ar-SA"/>
          <w14:textFill>
            <w14:solidFill>
              <w14:schemeClr w14:val="tx1"/>
            </w14:solidFill>
          </w14:textFill>
        </w:rPr>
        <w:t>%，决算数大于预算数的主要原因是：年初预算将在职等工资福利及公用经费开支放在该功能科目下核算，本年实际该功能科目还包含体制变革人员经费开支。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2、一般公共服务类</w:t>
      </w:r>
      <w:r>
        <w:rPr>
          <w:rFonts w:hint="eastAsia" w:ascii="仿宋" w:hAnsi="仿宋" w:eastAsia="仿宋" w:cs="仿宋"/>
          <w:color w:val="000000" w:themeColor="text1"/>
          <w:kern w:val="0"/>
          <w:sz w:val="32"/>
          <w:szCs w:val="32"/>
          <w:lang w:val="en-US" w:eastAsia="zh-CN" w:bidi="ar-SA"/>
          <w14:textFill>
            <w14:solidFill>
              <w14:schemeClr w14:val="tx1"/>
            </w14:solidFill>
          </w14:textFill>
        </w:rPr>
        <w:t>（类）政府办公厅（室）及相关机构事务（款）</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一般行政管理事务</w:t>
      </w:r>
      <w:r>
        <w:rPr>
          <w:rFonts w:hint="eastAsia" w:ascii="仿宋" w:hAnsi="仿宋" w:eastAsia="仿宋" w:cs="仿宋"/>
          <w:color w:val="000000" w:themeColor="text1"/>
          <w:kern w:val="0"/>
          <w:sz w:val="32"/>
          <w:szCs w:val="32"/>
          <w:lang w:val="en-US" w:eastAsia="zh-CN" w:bidi="ar-SA"/>
          <w14:textFill>
            <w14:solidFill>
              <w14:schemeClr w14:val="tx1"/>
            </w14:solidFill>
          </w14:textFill>
        </w:rPr>
        <w:t>（项）</w:t>
      </w:r>
      <w:r>
        <w:rPr>
          <w:rFonts w:hint="eastAsia" w:ascii="仿宋" w:hAnsi="仿宋" w:eastAsia="仿宋" w:cs="仿宋"/>
          <w:color w:val="000000" w:themeColor="text1"/>
          <w:kern w:val="0"/>
          <w:sz w:val="32"/>
          <w:szCs w:val="32"/>
          <w:lang w:val="en-US" w:eastAsia="zh-CN" w:bidi="ar-SA"/>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  年初预算数</w:t>
      </w:r>
      <w:r>
        <w:rPr>
          <w:rFonts w:hint="eastAsia" w:ascii="仿宋" w:hAnsi="仿宋" w:eastAsia="仿宋" w:cs="仿宋"/>
          <w:color w:val="000000" w:themeColor="text1"/>
          <w:kern w:val="0"/>
          <w:sz w:val="32"/>
          <w:szCs w:val="32"/>
          <w:lang w:val="en-US" w:eastAsia="zh-CN" w:bidi="ar-SA"/>
          <w14:textFill>
            <w14:solidFill>
              <w14:schemeClr w14:val="tx1"/>
            </w14:solidFill>
          </w14:textFill>
        </w:rPr>
        <w:t>1859.8</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万元，支出决算数</w:t>
      </w:r>
      <w:r>
        <w:rPr>
          <w:rFonts w:hint="eastAsia" w:ascii="仿宋" w:hAnsi="仿宋" w:eastAsia="仿宋" w:cs="仿宋"/>
          <w:color w:val="000000" w:themeColor="text1"/>
          <w:kern w:val="0"/>
          <w:sz w:val="32"/>
          <w:szCs w:val="32"/>
          <w:lang w:val="en-US" w:eastAsia="zh-CN" w:bidi="ar-SA"/>
          <w14:textFill>
            <w14:solidFill>
              <w14:schemeClr w14:val="tx1"/>
            </w14:solidFill>
          </w14:textFill>
        </w:rPr>
        <w:t>20121.71</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万元，完成年初预算数</w:t>
      </w:r>
      <w:r>
        <w:rPr>
          <w:rFonts w:hint="eastAsia" w:ascii="仿宋" w:hAnsi="仿宋" w:eastAsia="仿宋" w:cs="仿宋"/>
          <w:color w:val="000000" w:themeColor="text1"/>
          <w:kern w:val="0"/>
          <w:sz w:val="32"/>
          <w:szCs w:val="32"/>
          <w:lang w:val="en-US" w:eastAsia="zh-CN" w:bidi="ar-SA"/>
          <w14:textFill>
            <w14:solidFill>
              <w14:schemeClr w14:val="tx1"/>
            </w14:solidFill>
          </w14:textFill>
        </w:rPr>
        <w:t>1081.93</w:t>
      </w:r>
      <w:r>
        <w:rPr>
          <w:rFonts w:hint="eastAsia" w:ascii="仿宋" w:hAnsi="仿宋" w:eastAsia="仿宋" w:cs="仿宋"/>
          <w:color w:val="000000" w:themeColor="text1"/>
          <w:kern w:val="0"/>
          <w:sz w:val="32"/>
          <w:szCs w:val="32"/>
          <w:lang w:val="en-US" w:eastAsia="zh-CN" w:bidi="ar-SA"/>
          <w14:textFill>
            <w14:solidFill>
              <w14:schemeClr w14:val="tx1"/>
            </w14:solidFill>
          </w14:textFill>
        </w:rPr>
        <w:t>%，决算数大于预算的主要原因是：年初未对该功能科目下专项资金进行预算以及追加该功能上年结转资金。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3、农林水支出</w:t>
      </w:r>
      <w:r>
        <w:rPr>
          <w:rFonts w:hint="eastAsia" w:ascii="仿宋" w:hAnsi="仿宋" w:eastAsia="仿宋" w:cs="仿宋"/>
          <w:color w:val="000000" w:themeColor="text1"/>
          <w:kern w:val="0"/>
          <w:sz w:val="32"/>
          <w:szCs w:val="32"/>
          <w:lang w:val="en-US" w:eastAsia="zh-CN" w:bidi="ar-SA"/>
          <w14:textFill>
            <w14:solidFill>
              <w14:schemeClr w14:val="tx1"/>
            </w14:solidFill>
          </w14:textFill>
        </w:rPr>
        <w:t>（类）</w:t>
      </w:r>
      <w:r>
        <w:rPr>
          <w:rFonts w:hint="eastAsia" w:ascii="仿宋" w:hAnsi="仿宋" w:eastAsia="仿宋" w:cs="仿宋"/>
          <w:color w:val="000000" w:themeColor="text1"/>
          <w:kern w:val="0"/>
          <w:sz w:val="32"/>
          <w:szCs w:val="32"/>
          <w:lang w:val="en-US" w:eastAsia="zh-CN" w:bidi="ar-SA"/>
          <w14:textFill>
            <w14:solidFill>
              <w14:schemeClr w14:val="tx1"/>
            </w14:solidFill>
          </w14:textFill>
        </w:rPr>
        <w:t>其他农林水支出</w:t>
      </w:r>
      <w:r>
        <w:rPr>
          <w:rFonts w:hint="eastAsia" w:ascii="仿宋" w:hAnsi="仿宋" w:eastAsia="仿宋" w:cs="仿宋"/>
          <w:color w:val="000000" w:themeColor="text1"/>
          <w:kern w:val="0"/>
          <w:sz w:val="32"/>
          <w:szCs w:val="32"/>
          <w:lang w:val="en-US" w:eastAsia="zh-CN" w:bidi="ar-SA"/>
          <w14:textFill>
            <w14:solidFill>
              <w14:schemeClr w14:val="tx1"/>
            </w14:solidFill>
          </w14:textFill>
        </w:rPr>
        <w:t>（款）其他农林水支出（项）。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年初预算数0万元，支出决算数191.44万元，决算数大于预算的主要原因是：年初未对该功能科目下专项资金进行预算以及追加该功能上年结转资金。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 六、一般公共预算财政拨款基本支出决算情况说明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2020年财政拨款基本支出2200万元，其中：人员经费2061.88万元，占支出93.72%，主要包括核算街道在职、临聘的工资福利、物业补贴、工资调增部分、退休人员部分福利、体制外参照退休人员工资及福利。公用经费138.12万元，占6.28%，主要是核算办公用品、报刊杂志及全年的宣传印刷、电话网络、物业水电费、办公设施维修维护等开支。</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一般公共预算财政拨款“三公”经费支出决算情况说明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“三公“经费财政拨款支出预算</w:t>
      </w:r>
      <w:r>
        <w:rPr>
          <w:rFonts w:hint="eastAsia" w:ascii="仿宋" w:hAnsi="仿宋" w:eastAsia="仿宋" w:cs="仿宋"/>
          <w:color w:val="000000" w:themeColor="text1"/>
          <w:kern w:val="0"/>
          <w:sz w:val="32"/>
          <w:szCs w:val="32"/>
          <w:lang w:val="en-US" w:eastAsia="zh-CN" w:bidi="ar-SA"/>
          <w14:textFill>
            <w14:solidFill>
              <w14:schemeClr w14:val="tx1"/>
            </w14:solidFill>
          </w14:textFill>
        </w:rPr>
        <w:t>9.6</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万元，支出决算数为</w:t>
      </w:r>
      <w:r>
        <w:rPr>
          <w:rFonts w:hint="eastAsia" w:ascii="仿宋" w:hAnsi="仿宋" w:eastAsia="仿宋" w:cs="仿宋"/>
          <w:color w:val="000000" w:themeColor="text1"/>
          <w:kern w:val="0"/>
          <w:sz w:val="32"/>
          <w:szCs w:val="32"/>
          <w:lang w:val="en-US" w:eastAsia="zh-CN" w:bidi="ar-SA"/>
          <w14:textFill>
            <w14:solidFill>
              <w14:schemeClr w14:val="tx1"/>
            </w14:solidFill>
          </w14:textFill>
        </w:rPr>
        <w:t>0.37</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万元，完成预算数</w:t>
      </w:r>
      <w:r>
        <w:rPr>
          <w:rFonts w:hint="eastAsia" w:ascii="仿宋" w:hAnsi="仿宋" w:eastAsia="仿宋" w:cs="仿宋"/>
          <w:color w:val="000000" w:themeColor="text1"/>
          <w:kern w:val="0"/>
          <w:sz w:val="32"/>
          <w:szCs w:val="32"/>
          <w:lang w:val="en-US" w:eastAsia="zh-CN" w:bidi="ar-SA"/>
          <w14:textFill>
            <w14:solidFill>
              <w14:schemeClr w14:val="tx1"/>
            </w14:solidFill>
          </w14:textFill>
        </w:rPr>
        <w:t>3.85%</w:t>
      </w:r>
      <w:r>
        <w:rPr>
          <w:rFonts w:hint="eastAsia" w:ascii="仿宋" w:hAnsi="仿宋" w:eastAsia="仿宋" w:cs="仿宋"/>
          <w:color w:val="000000" w:themeColor="text1"/>
          <w:kern w:val="0"/>
          <w:sz w:val="32"/>
          <w:szCs w:val="32"/>
          <w:lang w:val="en-US" w:eastAsia="zh-CN" w:bidi="ar-SA"/>
          <w14:textFill>
            <w14:solidFill>
              <w14:schemeClr w14:val="tx1"/>
            </w14:solidFill>
          </w14:textFill>
        </w:rPr>
        <w:t>，其中：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因公出国（境）费支出预算为0万元，支出决算为0万元，完成预算的100%，决算数与年初预算数持平，主要原因按预算执行，与上年数持平，主要原因是积极贯彻落实中央、省委、市委、区委关于厉行节约的要求，从严控制因公出国（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公务接待费支出预算0万元，支出决算数</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0.12</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万元，决算数大于年初预算数的主要原因是食堂接待换届选举工作餐。与上年相比增加</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0.12</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万元，增加的主要原因是换届选举接待工作人员使用工作餐。公务用车购置费及运行维护费支出预算为</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9.6</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万元，支出决算数为</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0.25</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万元，完成预算的</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2.6</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%，决算数小于年初预算数的主要原因是减少了公车使用情况。</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outlineLvl w:val="9"/>
        <w:rPr>
          <w:rFonts w:hint="eastAsia" w:ascii="仿宋" w:hAnsi="仿宋" w:eastAsia="仿宋" w:cs="仿宋"/>
          <w:b/>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“三公”经费财政拨款支出决算具体</w:t>
      </w: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情况说明。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rightChars="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2020年度“三公”经费</w:t>
      </w:r>
      <w:r>
        <w:rPr>
          <w:rFonts w:hint="eastAsia" w:ascii="仿宋" w:hAnsi="仿宋" w:eastAsia="仿宋" w:cs="仿宋"/>
          <w:color w:val="000000" w:themeColor="text1"/>
          <w:sz w:val="32"/>
          <w:szCs w:val="32"/>
          <w14:textFill>
            <w14:solidFill>
              <w14:schemeClr w14:val="tx1"/>
            </w14:solidFill>
          </w14:textFill>
        </w:rPr>
        <w:t>财政拨款支出决算中</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bidi="ar-SA"/>
          <w14:textFill>
            <w14:solidFill>
              <w14:schemeClr w14:val="tx1"/>
            </w14:solidFill>
          </w14:textFill>
        </w:rPr>
        <w:t>公务接待费支出决算0.12万元，</w:t>
      </w:r>
      <w:r>
        <w:rPr>
          <w:rFonts w:hint="eastAsia" w:ascii="仿宋" w:hAnsi="仿宋" w:eastAsia="仿宋" w:cs="仿宋"/>
          <w:color w:val="000000" w:themeColor="text1"/>
          <w:kern w:val="0"/>
          <w:sz w:val="32"/>
          <w:szCs w:val="32"/>
          <w:lang w:val="en-US" w:eastAsia="zh-CN" w:bidi="ar-SA"/>
          <w14:textFill>
            <w14:solidFill>
              <w14:schemeClr w14:val="tx1"/>
            </w14:solidFill>
          </w14:textFill>
        </w:rPr>
        <w:t>占32.43%</w:t>
      </w:r>
      <w:r>
        <w:rPr>
          <w:rFonts w:hint="eastAsia" w:ascii="仿宋" w:hAnsi="仿宋" w:eastAsia="仿宋" w:cs="仿宋"/>
          <w:color w:val="000000" w:themeColor="text1"/>
          <w:kern w:val="0"/>
          <w:sz w:val="32"/>
          <w:szCs w:val="32"/>
          <w:lang w:val="en-US" w:eastAsia="zh-CN" w:bidi="ar-SA"/>
          <w14:textFill>
            <w14:solidFill>
              <w14:schemeClr w14:val="tx1"/>
            </w14:solidFill>
          </w14:textFill>
        </w:rPr>
        <w:t>，因公出国（境）0万元，公务用车购置及运行经费支出决算0.25万元，</w:t>
      </w:r>
      <w:r>
        <w:rPr>
          <w:rFonts w:hint="eastAsia" w:ascii="仿宋" w:hAnsi="仿宋" w:eastAsia="仿宋" w:cs="仿宋"/>
          <w:color w:val="000000" w:themeColor="text1"/>
          <w:kern w:val="0"/>
          <w:sz w:val="32"/>
          <w:szCs w:val="32"/>
          <w:lang w:val="en-US" w:eastAsia="zh-CN" w:bidi="ar-SA"/>
          <w14:textFill>
            <w14:solidFill>
              <w14:schemeClr w14:val="tx1"/>
            </w14:solidFill>
          </w14:textFill>
        </w:rPr>
        <w:t>占67.57%，其中：</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rightChars="0" w:firstLine="640" w:firstLineChars="200"/>
        <w:jc w:val="left"/>
        <w:textAlignment w:val="auto"/>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（1）因公出国（境）费支出决算数为0万元，全年安排因公出国（境）团组0个，累计0人次。</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highlight w:val="yellow"/>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（2）公务接待费支出决算为</w:t>
      </w:r>
      <w:r>
        <w:rPr>
          <w:rFonts w:hint="eastAsia" w:ascii="仿宋" w:hAnsi="仿宋" w:eastAsia="仿宋" w:cs="仿宋"/>
          <w:color w:val="000000" w:themeColor="text1"/>
          <w:kern w:val="0"/>
          <w:sz w:val="32"/>
          <w:szCs w:val="32"/>
          <w:lang w:val="en-US" w:eastAsia="zh-CN" w:bidi="ar-SA"/>
          <w14:textFill>
            <w14:solidFill>
              <w14:schemeClr w14:val="tx1"/>
            </w14:solidFill>
          </w14:textFill>
        </w:rPr>
        <w:t>0.12</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w:t>
      </w:r>
      <w:r>
        <w:rPr>
          <w:rFonts w:hint="eastAsia" w:ascii="仿宋" w:hAnsi="仿宋" w:eastAsia="仿宋" w:cs="仿宋"/>
          <w:color w:val="000000" w:themeColor="text1"/>
          <w:sz w:val="32"/>
          <w:szCs w:val="32"/>
          <w14:textFill>
            <w14:solidFill>
              <w14:schemeClr w14:val="tx1"/>
            </w14:solidFill>
          </w14:textFill>
        </w:rPr>
        <w:t>全年共接待来访团组</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个、来宾</w:t>
      </w:r>
      <w:r>
        <w:rPr>
          <w:rFonts w:hint="eastAsia" w:ascii="仿宋" w:hAnsi="仿宋" w:eastAsia="仿宋" w:cs="仿宋"/>
          <w:color w:val="000000" w:themeColor="text1"/>
          <w:sz w:val="32"/>
          <w:szCs w:val="32"/>
          <w:highlight w:val="none"/>
          <w:lang w:val="en-US" w:eastAsia="zh-CN"/>
          <w14:textFill>
            <w14:solidFill>
              <w14:schemeClr w14:val="tx1"/>
            </w14:solidFill>
          </w14:textFill>
        </w:rPr>
        <w:t>29</w:t>
      </w:r>
      <w:r>
        <w:rPr>
          <w:rFonts w:hint="eastAsia" w:ascii="仿宋" w:hAnsi="仿宋" w:eastAsia="仿宋" w:cs="仿宋"/>
          <w:color w:val="000000" w:themeColor="text1"/>
          <w:sz w:val="32"/>
          <w:szCs w:val="32"/>
          <w:highlight w:val="none"/>
          <w14:textFill>
            <w14:solidFill>
              <w14:schemeClr w14:val="tx1"/>
            </w14:solidFill>
          </w14:textFill>
        </w:rPr>
        <w:t>人次，主要是</w:t>
      </w:r>
      <w:r>
        <w:rPr>
          <w:rFonts w:hint="eastAsia" w:ascii="仿宋" w:hAnsi="仿宋" w:eastAsia="仿宋" w:cs="仿宋"/>
          <w:color w:val="000000" w:themeColor="text1"/>
          <w:sz w:val="32"/>
          <w:szCs w:val="32"/>
          <w:highlight w:val="none"/>
          <w:lang w:eastAsia="zh-CN"/>
          <w14:textFill>
            <w14:solidFill>
              <w14:schemeClr w14:val="tx1"/>
            </w14:solidFill>
          </w14:textFill>
        </w:rPr>
        <w:t>换届选举</w:t>
      </w:r>
      <w:r>
        <w:rPr>
          <w:rFonts w:hint="eastAsia" w:ascii="仿宋" w:hAnsi="仿宋" w:eastAsia="仿宋" w:cs="仿宋"/>
          <w:color w:val="000000" w:themeColor="text1"/>
          <w:sz w:val="32"/>
          <w:szCs w:val="32"/>
          <w:highlight w:val="none"/>
          <w14:textFill>
            <w14:solidFill>
              <w14:schemeClr w14:val="tx1"/>
            </w14:solidFill>
          </w14:textFill>
        </w:rPr>
        <w:t>发生的接待支出。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rightChars="0" w:firstLine="640" w:firstLineChars="200"/>
        <w:jc w:val="left"/>
        <w:textAlignment w:val="auto"/>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（3）公务用车购置及运行维护费支出决算为</w:t>
      </w:r>
      <w:r>
        <w:rPr>
          <w:rFonts w:hint="eastAsia" w:ascii="仿宋" w:hAnsi="仿宋" w:eastAsia="仿宋" w:cs="仿宋"/>
          <w:color w:val="000000" w:themeColor="text1"/>
          <w:kern w:val="0"/>
          <w:sz w:val="32"/>
          <w:szCs w:val="32"/>
          <w:lang w:val="en-US" w:eastAsia="zh-CN" w:bidi="ar-SA"/>
          <w14:textFill>
            <w14:solidFill>
              <w14:schemeClr w14:val="tx1"/>
            </w14:solidFill>
          </w14:textFill>
        </w:rPr>
        <w:t>0.25</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万元。其中：公务用车购置费0万元，洪山管理局更新公务用车0辆。公务用车运行维护费</w:t>
      </w:r>
      <w:r>
        <w:rPr>
          <w:rFonts w:hint="eastAsia" w:ascii="仿宋" w:hAnsi="仿宋" w:eastAsia="仿宋" w:cs="仿宋"/>
          <w:color w:val="000000" w:themeColor="text1"/>
          <w:kern w:val="0"/>
          <w:sz w:val="32"/>
          <w:szCs w:val="32"/>
          <w:lang w:val="en-US" w:eastAsia="zh-CN" w:bidi="ar-SA"/>
          <w14:textFill>
            <w14:solidFill>
              <w14:schemeClr w14:val="tx1"/>
            </w14:solidFill>
          </w14:textFill>
        </w:rPr>
        <w:t>0.25</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主要是维修维护支出，</w:t>
      </w:r>
      <w:r>
        <w:rPr>
          <w:rFonts w:hint="eastAsia" w:ascii="仿宋" w:hAnsi="仿宋" w:eastAsia="仿宋" w:cs="仿宋"/>
          <w:color w:val="000000" w:themeColor="text1"/>
          <w:kern w:val="0"/>
          <w:sz w:val="32"/>
          <w:szCs w:val="32"/>
          <w:lang w:val="en-US" w:eastAsia="zh-CN" w:bidi="ar-SA"/>
          <w14:textFill>
            <w14:solidFill>
              <w14:schemeClr w14:val="tx1"/>
            </w14:solidFill>
          </w14:textFill>
        </w:rPr>
        <w:t>截至2020年12月31日，我单位开支财政拨款的公务用车保有量为3辆。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rightChars="0" w:firstLine="640" w:firstLineChars="200"/>
        <w:jc w:val="left"/>
        <w:textAlignment w:val="auto"/>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本单位无政府性基金收支</w:t>
      </w:r>
      <w:r>
        <w:rPr>
          <w:rFonts w:hint="eastAsia" w:ascii="仿宋" w:hAnsi="仿宋" w:eastAsia="仿宋" w:cs="仿宋"/>
          <w:color w:val="000000" w:themeColor="text1"/>
          <w:kern w:val="0"/>
          <w:sz w:val="32"/>
          <w:szCs w:val="32"/>
          <w:lang w:val="en-US" w:eastAsia="zh-CN" w:bidi="ar-SA"/>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2020年度财务管理取得新成效。严格按照2019年洪山管理局财务预算实行财务管理。一是积极组织筹措资金。保障了洪山管理局及其下属公司正常运转，并按时足额支付了洪山管理局各项人员经费、体制改革分流人员经费等。二是做好了债权清收工作。对历史往来欠款，逐户上门核对往来账目，并和律师事务所一道发送对账函、发送催款通知，共收回了往来欠款约252.7万元。三是严格财务管理。对局机关及局属各单位违反八项规定开支情况进行了全面清理、整改，并对下属公司、分场财务开支进行严格审核和管理。四是开展资产清查。在全局范围内进行资产清查工作，建立资产、资源台账，并加强管理及合理利用，确保资产、资源的保值增值。五是组织资金发放了60号令拆迁场民综合农场生产发展用地处置第一次收益分配款2.8亿元。</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其他重要事项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200" w:right="0" w:rightChars="0" w:firstLine="643" w:firstLineChars="200"/>
        <w:jc w:val="left"/>
        <w:textAlignment w:val="auto"/>
        <w:outlineLvl w:val="9"/>
        <w:rPr>
          <w:rFonts w:hint="eastAsia" w:ascii="仿宋" w:hAnsi="仿宋" w:eastAsia="仿宋" w:cs="仿宋"/>
          <w:b/>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本部门2020年度机关运行经费支出138.12万元，较年初预算数增加了</w:t>
      </w:r>
      <w:r>
        <w:rPr>
          <w:rFonts w:hint="eastAsia" w:ascii="仿宋" w:hAnsi="仿宋" w:eastAsia="仿宋" w:cs="仿宋"/>
          <w:color w:val="000000" w:themeColor="text1"/>
          <w:kern w:val="0"/>
          <w:sz w:val="32"/>
          <w:szCs w:val="32"/>
          <w:lang w:val="en-US" w:eastAsia="zh-CN" w:bidi="ar-SA"/>
          <w14:textFill>
            <w14:solidFill>
              <w14:schemeClr w14:val="tx1"/>
            </w14:solidFill>
          </w14:textFill>
        </w:rPr>
        <w:t>64.02</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w:t>
      </w:r>
      <w:r>
        <w:rPr>
          <w:rFonts w:hint="eastAsia" w:ascii="仿宋" w:hAnsi="仿宋" w:eastAsia="仿宋" w:cs="仿宋"/>
          <w:color w:val="000000" w:themeColor="text1"/>
          <w:kern w:val="0"/>
          <w:sz w:val="32"/>
          <w:szCs w:val="32"/>
          <w:lang w:val="en-US" w:eastAsia="zh-CN" w:bidi="ar-SA"/>
          <w14:textFill>
            <w14:solidFill>
              <w14:schemeClr w14:val="tx1"/>
            </w14:solidFill>
          </w14:textFill>
        </w:rPr>
        <w:t>增长86.4%</w:t>
      </w:r>
      <w:r>
        <w:rPr>
          <w:rFonts w:hint="eastAsia" w:ascii="仿宋" w:hAnsi="仿宋" w:eastAsia="仿宋" w:cs="仿宋"/>
          <w:color w:val="000000" w:themeColor="text1"/>
          <w:kern w:val="0"/>
          <w:sz w:val="32"/>
          <w:szCs w:val="32"/>
          <w:lang w:val="en-US"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主要原因是其中核算本年发生物业管理费。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outlineLvl w:val="9"/>
        <w:rPr>
          <w:rFonts w:hint="eastAsia" w:ascii="仿宋" w:hAnsi="仿宋" w:eastAsia="仿宋" w:cs="仿宋"/>
          <w:b/>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2020本部门开支会议费0万元；开支培训费0万元；无</w:t>
      </w:r>
      <w:r>
        <w:rPr>
          <w:rFonts w:hint="eastAsia" w:ascii="仿宋" w:hAnsi="仿宋" w:eastAsia="仿宋" w:cs="仿宋"/>
          <w:color w:val="000000" w:themeColor="text1"/>
          <w:kern w:val="0"/>
          <w:sz w:val="32"/>
          <w:szCs w:val="32"/>
          <w14:textFill>
            <w14:solidFill>
              <w14:schemeClr w14:val="tx1"/>
            </w14:solidFill>
          </w14:textFill>
        </w:rPr>
        <w:t>节庆、晚会、论坛、赛事等活动</w:t>
      </w:r>
      <w:r>
        <w:rPr>
          <w:rFonts w:hint="eastAsia" w:ascii="仿宋" w:hAnsi="仿宋" w:eastAsia="仿宋" w:cs="仿宋"/>
          <w:color w:val="000000" w:themeColor="text1"/>
          <w:kern w:val="0"/>
          <w:sz w:val="32"/>
          <w:szCs w:val="32"/>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outlineLvl w:val="9"/>
        <w:rPr>
          <w:rFonts w:hint="eastAsia" w:ascii="仿宋" w:hAnsi="仿宋" w:eastAsia="仿宋" w:cs="仿宋"/>
          <w:b/>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本部门2020年度政府采购支出总额0万元，其中：政府采购货物支出0万元，政府采购工程款0万元，政府采购服务0万元。授予中小企业的合同金额及占政府采购支出总金额比重为0。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outlineLvl w:val="9"/>
        <w:rPr>
          <w:rFonts w:hint="eastAsia" w:ascii="仿宋" w:hAnsi="仿宋" w:eastAsia="仿宋" w:cs="仿宋"/>
          <w:b/>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截至2020年12月31日，本部门共有车辆5辆，其中，一般公务用车3辆、其他用车2辆，其他用车主要是电动巡逻车以及洒水车，</w:t>
      </w:r>
      <w:r>
        <w:rPr>
          <w:rFonts w:hint="eastAsia" w:ascii="仿宋" w:hAnsi="仿宋" w:eastAsia="仿宋" w:cs="仿宋"/>
          <w:color w:val="000000" w:themeColor="text1"/>
          <w:kern w:val="0"/>
          <w:sz w:val="32"/>
          <w:szCs w:val="32"/>
          <w14:textFill>
            <w14:solidFill>
              <w14:schemeClr w14:val="tx1"/>
            </w14:solidFill>
          </w14:textFill>
        </w:rPr>
        <w:t>单位价值50万元以上通用设备</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kern w:val="0"/>
          <w:sz w:val="32"/>
          <w:szCs w:val="32"/>
          <w:u w:val="none"/>
          <w14:textFill>
            <w14:solidFill>
              <w14:schemeClr w14:val="tx1"/>
            </w14:solidFill>
          </w14:textFill>
        </w:rPr>
        <w:t>台（套）；单位价值100万元以上专用设备</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kern w:val="0"/>
          <w:sz w:val="32"/>
          <w:szCs w:val="32"/>
          <w:u w:val="none"/>
          <w14:textFill>
            <w14:solidFill>
              <w14:schemeClr w14:val="tx1"/>
            </w14:solidFill>
          </w14:textFill>
        </w:rPr>
        <w:t>台</w:t>
      </w:r>
      <w:r>
        <w:rPr>
          <w:rFonts w:hint="eastAsia" w:ascii="仿宋" w:hAnsi="仿宋" w:eastAsia="仿宋" w:cs="仿宋"/>
          <w:color w:val="000000" w:themeColor="text1"/>
          <w:kern w:val="0"/>
          <w:sz w:val="32"/>
          <w:szCs w:val="32"/>
          <w14:textFill>
            <w14:solidFill>
              <w14:schemeClr w14:val="tx1"/>
            </w14:solidFill>
          </w14:textFill>
        </w:rPr>
        <w:t>（套）。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000000" w:themeColor="text1"/>
          <w:kern w:val="0"/>
          <w:sz w:val="44"/>
          <w:szCs w:val="44"/>
          <w:lang w:val="en-US" w:eastAsia="zh-CN"/>
          <w14:textFill>
            <w14:solidFill>
              <w14:schemeClr w14:val="tx1"/>
            </w14:solidFill>
          </w14:textFill>
        </w:rPr>
      </w:pPr>
      <w:r>
        <w:rPr>
          <w:rFonts w:hint="eastAsia" w:ascii="黑体" w:hAnsi="黑体" w:eastAsia="黑体" w:cs="黑体"/>
          <w:bCs/>
          <w:color w:val="000000" w:themeColor="text1"/>
          <w:kern w:val="0"/>
          <w:sz w:val="44"/>
          <w:szCs w:val="44"/>
          <w:lang w:val="en-US" w:eastAsia="zh-CN"/>
          <w14:textFill>
            <w14:solidFill>
              <w14:schemeClr w14:val="tx1"/>
            </w14:solidFill>
          </w14:textFill>
        </w:rPr>
        <w:t>第四部分 名词解释</w:t>
      </w: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000000" w:themeColor="text1"/>
          <w:kern w:val="0"/>
          <w:sz w:val="44"/>
          <w:szCs w:val="44"/>
          <w:lang w:val="en-US"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 1.机关运行经费：是指部门的公用经费，包括办公及印刷费、邮电费、差旅费、会议费、福利费、日常维修维护费、专业材料及一般设备购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 2.“三公”经费：纳入财政预算管理的“三公”经费，是指用一般公共预算拨款安排的公务接待费、公务用车购置及运行维护费和因公出国（境）费。其中，公务接待费反映单位按照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color w:val="000000" w:themeColor="text1"/>
          <w:kern w:val="0"/>
          <w:sz w:val="32"/>
          <w:szCs w:val="32"/>
          <w:lang w:val="en-US" w:eastAsia="zh-CN" w:bidi="ar-SA"/>
          <w14:textFill>
            <w14:solidFill>
              <w14:schemeClr w14:val="tx1"/>
            </w14:solidFill>
          </w14:textFill>
        </w:rPr>
      </w:pPr>
    </w:p>
    <w:p>
      <w:pPr>
        <w:keepNext w:val="0"/>
        <w:keepLines w:val="0"/>
        <w:pageBreakBefore w:val="0"/>
        <w:numPr>
          <w:ilvl w:val="0"/>
          <w:numId w:val="4"/>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000000" w:themeColor="text1"/>
          <w:kern w:val="0"/>
          <w:sz w:val="44"/>
          <w:szCs w:val="44"/>
          <w:lang w:val="en-US" w:eastAsia="zh-CN"/>
          <w14:textFill>
            <w14:solidFill>
              <w14:schemeClr w14:val="tx1"/>
            </w14:solidFill>
          </w14:textFill>
        </w:rPr>
      </w:pPr>
      <w:r>
        <w:rPr>
          <w:rFonts w:hint="eastAsia" w:ascii="黑体" w:hAnsi="黑体" w:eastAsia="黑体" w:cs="黑体"/>
          <w:bCs/>
          <w:color w:val="000000" w:themeColor="text1"/>
          <w:kern w:val="0"/>
          <w:sz w:val="44"/>
          <w:szCs w:val="44"/>
          <w:lang w:val="en-US" w:eastAsia="zh-CN"/>
          <w14:textFill>
            <w14:solidFill>
              <w14:schemeClr w14:val="tx1"/>
            </w14:solidFill>
          </w14:textFill>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年度部门</w:t>
      </w:r>
      <w:bookmarkStart w:id="0" w:name="_GoBack"/>
      <w:bookmarkEnd w:id="0"/>
      <w:r>
        <w:rPr>
          <w:rFonts w:hint="eastAsia" w:ascii="仿宋" w:hAnsi="仿宋" w:eastAsia="仿宋" w:cs="仿宋"/>
          <w:color w:val="000000" w:themeColor="text1"/>
          <w:sz w:val="32"/>
          <w:szCs w:val="32"/>
          <w14:textFill>
            <w14:solidFill>
              <w14:schemeClr w14:val="tx1"/>
            </w14:solidFill>
          </w14:textFill>
        </w:rPr>
        <w:t>整体支出绩效评价报告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C30BFE56"/>
    <w:multiLevelType w:val="singleLevel"/>
    <w:tmpl w:val="C30BFE56"/>
    <w:lvl w:ilvl="0" w:tentative="0">
      <w:start w:val="2"/>
      <w:numFmt w:val="chineseCounting"/>
      <w:suff w:val="nothing"/>
      <w:lvlText w:val="（%1）"/>
      <w:lvlJc w:val="left"/>
      <w:rPr>
        <w:rFonts w:hint="eastAsia"/>
      </w:rPr>
    </w:lvl>
  </w:abstractNum>
  <w:abstractNum w:abstractNumId="2">
    <w:nsid w:val="2F5C32B2"/>
    <w:multiLevelType w:val="singleLevel"/>
    <w:tmpl w:val="2F5C32B2"/>
    <w:lvl w:ilvl="0" w:tentative="0">
      <w:start w:val="7"/>
      <w:numFmt w:val="chineseCounting"/>
      <w:suff w:val="nothing"/>
      <w:lvlText w:val="%1、"/>
      <w:lvlJc w:val="left"/>
      <w:rPr>
        <w:rFonts w:hint="eastAsia"/>
      </w:rPr>
    </w:lvl>
  </w:abstractNum>
  <w:abstractNum w:abstractNumId="3">
    <w:nsid w:val="349BD96C"/>
    <w:multiLevelType w:val="singleLevel"/>
    <w:tmpl w:val="349BD96C"/>
    <w:lvl w:ilvl="0" w:tentative="0">
      <w:start w:val="10"/>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NTIzNTVhNTExN2Y1M2Y0ZDdlYTM1NWI2YTdiY2IifQ=="/>
  </w:docVars>
  <w:rsids>
    <w:rsidRoot w:val="00000000"/>
    <w:rsid w:val="0AAF097E"/>
    <w:rsid w:val="0D6C4D8D"/>
    <w:rsid w:val="0F592105"/>
    <w:rsid w:val="172429C1"/>
    <w:rsid w:val="1A076A41"/>
    <w:rsid w:val="1AB164A0"/>
    <w:rsid w:val="1CCF137D"/>
    <w:rsid w:val="2A3A7B63"/>
    <w:rsid w:val="2DA010B8"/>
    <w:rsid w:val="302E6359"/>
    <w:rsid w:val="3231600F"/>
    <w:rsid w:val="32F8016F"/>
    <w:rsid w:val="3695068E"/>
    <w:rsid w:val="41B660BF"/>
    <w:rsid w:val="44B83BAF"/>
    <w:rsid w:val="46932BBB"/>
    <w:rsid w:val="4AEE5307"/>
    <w:rsid w:val="4F5F1B7D"/>
    <w:rsid w:val="4FD30CB3"/>
    <w:rsid w:val="4FE33BBF"/>
    <w:rsid w:val="61B8592A"/>
    <w:rsid w:val="662D0AE9"/>
    <w:rsid w:val="6FA5685D"/>
    <w:rsid w:val="73033BE8"/>
    <w:rsid w:val="78CB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3684</Words>
  <Characters>4173</Characters>
  <Lines>0</Lines>
  <Paragraphs>0</Paragraphs>
  <TotalTime>2</TotalTime>
  <ScaleCrop>false</ScaleCrop>
  <LinksUpToDate>false</LinksUpToDate>
  <CharactersWithSpaces>4202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Administrator</cp:lastModifiedBy>
  <dcterms:modified xsi:type="dcterms:W3CDTF">2022-08-22T08:00:00Z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782BC0498B39471493E431FCEF4CA0E6</vt:lpwstr>
  </property>
</Properties>
</file>