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jc w:val="center"/>
        <w:rPr>
          <w:rFonts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大标宋简体" w:cs="Times New Roman"/>
          <w:color w:val="auto"/>
          <w:sz w:val="44"/>
          <w:szCs w:val="44"/>
        </w:rPr>
        <w:t>2022</w:t>
      </w:r>
      <w:r>
        <w:rPr>
          <w:rFonts w:ascii="Times New Roman" w:hAnsi="Times New Roman" w:eastAsia="方正大标宋简体" w:cs="Times New Roman"/>
          <w:color w:val="auto"/>
          <w:sz w:val="44"/>
          <w:szCs w:val="44"/>
        </w:rPr>
        <w:t>年度部门整体支出</w:t>
      </w:r>
    </w:p>
    <w:p>
      <w:pPr>
        <w:pStyle w:val="8"/>
        <w:spacing w:line="600" w:lineRule="exact"/>
        <w:jc w:val="center"/>
        <w:rPr>
          <w:rFonts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大标宋简体" w:cs="Times New Roman"/>
          <w:color w:val="auto"/>
          <w:sz w:val="44"/>
          <w:szCs w:val="44"/>
        </w:rPr>
        <w:t>绩效评价报告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根据财政部《财政支出绩效评价管理暂行办法》（财预〔2011〕285号）、《中华人民共和国预算法》、《中共中央、国务院关于全面实施预算绩效管理的意见》（中发〔2018〕34号）、《中共湖南省委办公厅、湖南省人民政府办公厅关于全面实施预算绩效管理的实施意见》（湘办发〔2019〕10号）、区政府《关于推进预算绩效管理的意见》（开政发〔2012〕32号）和区财政局《区财政公共项目支出绩效评价实施办法（试行）》（开财发〔2012〕46号）等有关规定，按照重要性原则，通过对绩效目标与绩效结果进行比较，综合分析评价绩效目标完成情况。现将评价情况报告如下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部门概况</w:t>
      </w:r>
    </w:p>
    <w:p>
      <w:pPr>
        <w:spacing w:line="360" w:lineRule="auto"/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hint="eastAsia" w:ascii="楷体_GB2312" w:hAnsi="楷体" w:eastAsia="楷体_GB2312" w:cs="宋体"/>
          <w:sz w:val="32"/>
          <w:szCs w:val="32"/>
        </w:rPr>
        <w:t>（一）基本情况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主要职能：东风路街道办事处是开福区政府的派出机关，受人民政府领导，依据法律、法规规定，在本辖区内行使相应的政府管理职能，开展社会主义物质文明、精神文明建设，创建安定团结、环境整洁、秩序优良、方便生活的文明街道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2．机构情况，</w:t>
      </w:r>
      <w:r>
        <w:rPr>
          <w:rFonts w:hint="eastAsia" w:ascii="仿宋_GB2312" w:hAnsi="仿宋" w:eastAsia="仿宋_GB2312" w:cs="Times New Roman"/>
          <w:sz w:val="32"/>
          <w:szCs w:val="32"/>
        </w:rPr>
        <w:t>本部门有1个行政单位组成，下设7个部门，包括：党政综合办、基层党建办、公共安全办、城市管理办、公共服务办、综合执法队、政务服务中心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3．人员情况，</w:t>
      </w:r>
      <w:r>
        <w:rPr>
          <w:rFonts w:hint="eastAsia" w:ascii="仿宋_GB2312" w:hAnsi="仿宋" w:eastAsia="仿宋_GB2312" w:cs="Times New Roman"/>
          <w:sz w:val="32"/>
          <w:szCs w:val="32"/>
        </w:rPr>
        <w:t>本单位年末实有在职人数55人，本年新招录1人，新调入1人，调出1人；退休年末实有51人,退休去世1人；临聘人员11人；两保人员13人；治安巡防队员32人，流口协管员24人，城管协管员47人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（二）部门（单位）年度整体支出绩效目标</w:t>
      </w:r>
      <w:r>
        <w:rPr>
          <w:rFonts w:hint="eastAsia" w:eastAsia="楷体_GB2312"/>
          <w:b/>
          <w:sz w:val="32"/>
          <w:szCs w:val="32"/>
        </w:rPr>
        <w:t>: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1、贯彻执行法律、法规、政策和上级人民政府的决定、命令、指示，完成上级人民政府部署的各项任务。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2、研究制定并组织实施街道经济发展计划，加强对街道经济社会全面管理和协调服务；制定并执行街道财政预、决算，加强审计监督。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3、负责组织开展辖区群众文体活动，做好思想文化宣传。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4、落实辖区内的民生及社会保障工作。协调开展拥军优抚、社会救济、居家养老、离退休人员管理、残联、救灾赈灾、殡葬管理等工作，积极发展社会福利事业。负责落实群众最低生活保障、医疗保障、住房保障等工作。积极组织群众参加就业技能培训和再就业推荐工作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5、负责辖区城市管理工作，营造良好辖区卫生环境。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6、负责组织开展辖区内卫生与计划生育的宣传教育工作；协助上级主管部门依法管理出租屋和流动人口。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7、负责开展辖区生产安全、食品安全、药品安全、消防安全、交通安全、建筑安全等安全生产监督管理工作。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8、负责协助上级主管部门做好病虫防治、动物防疫工作。认真落实辖区防汛、防内渍、内涝工作。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9、完成上级人民政府交办的其它工作。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其他项目支出（除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级专项资金以外）绩效目标</w:t>
      </w:r>
      <w:r>
        <w:rPr>
          <w:rFonts w:hint="eastAsia" w:eastAsia="楷体_GB2312"/>
          <w:b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城市管理：1、维护辖区良好卫生环境，做好全街共491406平方米背街小巷清扫保洁工作；对辖区2家农贸市场开展专项整治工作。2、打好蓝天保卫战，对辖区露天焚烧、流动摊贩巡查管控；对248家门店进行油烟净化检查；对5家燃气经营点定期巡查。3、落实“门前三包”责任制覆盖率达100%。4、完成生活垃圾分类厢房建设，开展垃圾分类宣传、培训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公共服务：1、以民为本，为民解困，为民服务；为16名残疾人、生活困难、重病人提供救助；为600余人提供就业培训，为100余人解决就业岗位；社保扩面，做到应保尽保2、做好卫健工作；完成500人次妇女病检查，200人次优生检查，开展3次卫健协会及生育关怀活动，完成240余个献血任务，提升辖区居民生活质量，减少疾病发生3、组织好文体活动；全年开展不少于4次文体活动，丰富辖区居民精神生活4、支持辖区教育发展；做好中考、高考护考工作；对教育事业人员关心关爱，完成对6所学校的慰问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经济发展：1、提升辖区经济发展水平，引进10家税源企业，将异地纳税企业变更20家，成立1家建筑分公司；企业引进200家以上，招商引资活动开展3次以上；高新技术企业申报不少于6家。2、优化营商环境，为400余家企业解决问题和困难，培育壮大楼宇体系，打造过亿元税收楼宇2栋。3、提高统计数据质量，按照统计要求督促、落实、协调、准确报送各经济指标。4、打造更高水平的财政所，为街道各项业务提供更优质服务。5、强化内部审计，提升内审水平，及时发现工作中存在的问题，为管理工作提供依据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社会管理：1、做好思想宣传、基层党建工作，强化辖区街道工作人员及居民精神文明建设；完成全街48名党员党性教育，辖区2350名党员日常教育培训，每年开展12次主题党日活动和慰问，打造2个党员分类示范社区。2、保障辖区公共安全，维护良好社会秩序；确保辖区“六个不发生”；创建全市社区戒毒工作示范点；全年开展2次预防青少年犯罪和禁毒宣传活动。3、做好安全生产工作，保障辖区企业稳定生产； 每年开展4次安全生产教育活动，企业全面落实主体责任率达95%、危旧房屋得到管控、安全信息员培训合格率达100%。4、做好政协活动调研；建设1个线上线下相结合的智慧委员工作室，建立1个工作微信交流群，落实1个坐班约谈工作机制，每个委员牵头1次活动；开好政协工作两个会；做好提案、社情民意、爱心帮扶三件事；搞好街道联络处基数4例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协管员工资保险经费：保障46名城管协管员工资保险。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治安巡防队员、流动人口协管员经费：保障32名治安巡防队员及24名流动人口协管员工资保险开支。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两保人员经费：保障两保非员额8人人员经费。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背街小巷清扫保洁经费：对全街共491406平方米背街小巷做好清扫保洁工作，提升辖区市容环境水平。</w:t>
      </w:r>
    </w:p>
    <w:p>
      <w:pPr>
        <w:pStyle w:val="9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pStyle w:val="9"/>
        <w:spacing w:line="600" w:lineRule="exact"/>
        <w:ind w:firstLine="64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pStyle w:val="9"/>
        <w:widowControl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一般公共预算基本支出</w:t>
      </w:r>
      <w:r>
        <w:rPr>
          <w:rFonts w:hint="eastAsia" w:ascii="Times New Roman" w:hAnsi="Times New Roman"/>
          <w:sz w:val="32"/>
          <w:szCs w:val="32"/>
        </w:rPr>
        <w:t>2267.97</w:t>
      </w:r>
      <w:r>
        <w:rPr>
          <w:rFonts w:hint="eastAsia" w:ascii="Times New Roman" w:hAnsi="Times New Roman" w:eastAsia="仿宋_GB2312"/>
          <w:sz w:val="32"/>
          <w:szCs w:val="32"/>
        </w:rPr>
        <w:t>万元，主要用于</w:t>
      </w:r>
      <w:r>
        <w:rPr>
          <w:rFonts w:hint="eastAsia" w:ascii="Times New Roman" w:hAnsi="Times New Roman"/>
          <w:sz w:val="32"/>
          <w:szCs w:val="32"/>
        </w:rPr>
        <w:t>街道</w:t>
      </w:r>
      <w:r>
        <w:rPr>
          <w:rFonts w:hint="eastAsia" w:ascii="Times New Roman" w:hAnsi="Times New Roman" w:eastAsia="仿宋_GB2312"/>
          <w:sz w:val="32"/>
          <w:szCs w:val="32"/>
        </w:rPr>
        <w:t>人员经费</w:t>
      </w:r>
      <w:r>
        <w:rPr>
          <w:rFonts w:hint="eastAsia" w:ascii="Times New Roman" w:hAnsi="Times New Roman"/>
          <w:sz w:val="32"/>
          <w:szCs w:val="32"/>
        </w:rPr>
        <w:t>2060.34万元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/>
          <w:sz w:val="32"/>
          <w:szCs w:val="32"/>
        </w:rPr>
        <w:t>日常</w:t>
      </w:r>
      <w:r>
        <w:rPr>
          <w:rFonts w:hint="eastAsia" w:ascii="Times New Roman" w:hAnsi="Times New Roman" w:eastAsia="仿宋_GB2312"/>
          <w:sz w:val="32"/>
          <w:szCs w:val="32"/>
        </w:rPr>
        <w:t>公用经费开支</w:t>
      </w:r>
      <w:r>
        <w:rPr>
          <w:rFonts w:hint="eastAsia" w:ascii="Times New Roman" w:hAnsi="Times New Roman"/>
          <w:sz w:val="32"/>
          <w:szCs w:val="32"/>
        </w:rPr>
        <w:t>207.63万元。</w:t>
      </w:r>
    </w:p>
    <w:p>
      <w:pPr>
        <w:pStyle w:val="9"/>
        <w:spacing w:line="600" w:lineRule="exact"/>
        <w:ind w:firstLine="64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（二）项目支出情况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除</w:t>
      </w:r>
      <w:r>
        <w:rPr>
          <w:rFonts w:hint="eastAsia" w:eastAsia="仿宋_GB2312"/>
          <w:sz w:val="32"/>
          <w:szCs w:val="32"/>
        </w:rPr>
        <w:t>区</w:t>
      </w:r>
      <w:r>
        <w:rPr>
          <w:rFonts w:eastAsia="仿宋_GB2312"/>
          <w:sz w:val="32"/>
          <w:szCs w:val="32"/>
        </w:rPr>
        <w:t>级专项资金以外的其他项目支出情况。</w:t>
      </w:r>
    </w:p>
    <w:p>
      <w:pPr>
        <w:spacing w:line="600" w:lineRule="exact"/>
        <w:ind w:firstLine="645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项目支出</w:t>
      </w:r>
      <w:r>
        <w:rPr>
          <w:rFonts w:hint="eastAsia" w:eastAsia="楷体_GB2312"/>
          <w:sz w:val="32"/>
          <w:szCs w:val="32"/>
          <w:lang w:val="en-US" w:eastAsia="zh-CN"/>
        </w:rPr>
        <w:t>3183.77</w:t>
      </w:r>
      <w:r>
        <w:rPr>
          <w:rFonts w:hint="eastAsia" w:eastAsia="楷体_GB2312"/>
          <w:sz w:val="32"/>
          <w:szCs w:val="32"/>
        </w:rPr>
        <w:t>万元，其中，城市管理支出</w:t>
      </w:r>
      <w:r>
        <w:rPr>
          <w:rFonts w:hint="eastAsia" w:eastAsia="楷体_GB2312"/>
          <w:sz w:val="32"/>
          <w:szCs w:val="32"/>
          <w:lang w:val="en-US" w:eastAsia="zh-CN"/>
        </w:rPr>
        <w:t>148.74</w:t>
      </w:r>
      <w:r>
        <w:rPr>
          <w:rFonts w:hint="eastAsia" w:eastAsia="楷体_GB2312"/>
          <w:sz w:val="32"/>
          <w:szCs w:val="32"/>
        </w:rPr>
        <w:t>万元，公共服务支出</w:t>
      </w:r>
      <w:r>
        <w:rPr>
          <w:rFonts w:hint="eastAsia" w:eastAsia="楷体_GB2312"/>
          <w:sz w:val="32"/>
          <w:szCs w:val="32"/>
          <w:lang w:val="en-US" w:eastAsia="zh-CN"/>
        </w:rPr>
        <w:t>1547.60</w:t>
      </w:r>
      <w:r>
        <w:rPr>
          <w:rFonts w:hint="eastAsia" w:eastAsia="楷体_GB2312"/>
          <w:sz w:val="32"/>
          <w:szCs w:val="32"/>
        </w:rPr>
        <w:t>万元，经济</w:t>
      </w:r>
      <w:bookmarkStart w:id="0" w:name="_GoBack"/>
      <w:bookmarkEnd w:id="0"/>
      <w:r>
        <w:rPr>
          <w:rFonts w:hint="eastAsia" w:eastAsia="楷体_GB2312"/>
          <w:sz w:val="32"/>
          <w:szCs w:val="32"/>
        </w:rPr>
        <w:t>发展支出10.78万元，社会管理支出701.06万元，协管员工资保险经费187.42万元，治安巡防队员、流动人口协管员经费支出221.51万元，两保人员经费支出165.75万元，背街小巷清扫保洁经费200.91万元。</w:t>
      </w:r>
    </w:p>
    <w:p>
      <w:pPr>
        <w:spacing w:line="360" w:lineRule="auto"/>
        <w:ind w:firstLine="640" w:firstLineChars="200"/>
        <w:rPr>
          <w:rFonts w:ascii="黑体" w:hAnsi="黑体" w:eastAsia="黑体" w:cs="方正小标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</w:t>
      </w:r>
      <w:r>
        <w:rPr>
          <w:rFonts w:hint="eastAsia" w:ascii="黑体" w:hAnsi="黑体" w:eastAsia="黑体" w:cs="方正小标宋_GBK"/>
          <w:bCs/>
          <w:color w:val="000000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（一）聚焦关键，</w:t>
      </w:r>
      <w:r>
        <w:rPr>
          <w:rFonts w:hint="eastAsia" w:ascii="Times New Roman" w:hAnsi="Times New Roman" w:eastAsia="楷体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提升认识</w:t>
      </w:r>
      <w:r>
        <w:rPr>
          <w:rFonts w:hint="default" w:ascii="Times New Roman" w:hAnsi="Times New Roman" w:eastAsia="楷体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，坚持党建引领聚发展合力。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一是以理论学习提高思想认识。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始终把思想政治建设摆在重要位置，高度重视理论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学习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、政策学习，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采取平时学习、集中学习和宣传教育相结合的方式，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丰富学习内容，确保学习成效，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开展理论中心组学习9次，累计发放《习近平谈治国理政》（第四卷）等学习书籍200余套，切实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提升党员干部思想政治水平，提高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党员干部思想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政治觉悟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  <w:lang w:eastAsia="zh-CN"/>
        </w:rPr>
        <w:t>二是以基层党建夯实组织基础。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大力推进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党建聚合力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工程，充分依托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吹哨报到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区域化党建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我为群众办实事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等机制，推进党支部标准化规范化建设，结合党建引领物业管理，提升社区治理质效，激活社会治理共建共治共享一池春水。截至目前，完成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吹哨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4次，办理民生实事8件，慰问困难党员35人，创建物业管理服务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达标小区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5个，我街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3个先进集体在全区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党建聚合力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大会上得到表彰。聚焦品牌打造，在深入推进王家垅社区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共享事业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、打造砚瓦池社区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砚园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共享会客厅的基础上，圆满完成友阿宿舍党群服务中心建设，打造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厚德流光、雅致远敬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服务品牌，形成自治共治良好氛围。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  <w:lang w:eastAsia="zh-CN"/>
        </w:rPr>
        <w:t>三是以党委统筹抓好全局站位。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旗帜鲜明坚持党管意识形态、党管武装工作，落实意识形态工作专题研究强统筹、专项整改强规范、专题培训强能力、明晰职责强落实，每周巡查各类阵地，每月收集上报隐患，每季度开展意识形态领域分析研判，确保街道意识形态领域平稳可控。增进党管武装工作统筹，投入近10万元经费，积极开展国防教育、加强阵地建设、配齐民兵装备、落实征兵工作，圆满完成了民兵整组、兵役登记等年度目标任务。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  <w:lang w:eastAsia="zh-CN"/>
        </w:rPr>
        <w:t>四是以文明创建弘扬优良街风。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充分联动上级单位，通过成立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划线队伍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文明交通志愿服务队伍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等开展整治行动，推动辖区创建水平常态长效。精准对标，响应上级号召，对街道社区新时代文明实践所、站阵地进行提质改造。持续推动已有品牌建设，王家垅社区引进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共享健身房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，砚瓦池社区进一步丰富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砚山学堂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文明课堂，王家垅社区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湖南省学雷锋志愿服务点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持续深化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共享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力量，德雅路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开福合伙人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、浏河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智慧益仓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链接专业队伍打造升级课堂开展未成年人教育，打造王家垅社区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亮巷行动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、浏河社区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智慧益仓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等接地气的惠民工程及品牌项目。蚌塘社区获评市级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文明社区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2"/>
          <w:sz w:val="32"/>
          <w:szCs w:val="32"/>
          <w:lang w:val="en" w:eastAsia="zh-CN" w:bidi="ar-SA"/>
        </w:rPr>
        <w:t>（二）聚焦楼宇，主动作为，加快街域经济高质量发展。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" w:eastAsia="zh-CN" w:bidi="ar-SA"/>
        </w:rPr>
        <w:t>主要经济指标表现良好。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固投年度目标任务40亿，1-9月完成24.38亿，完成率6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%。社零年度目标任务3.36亿，1-9月完成2.58亿，同比增速9.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%，完成率76.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%，其中长沙卜蜂超市有限公司完成1.1亿，同比增速6.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%；湖南省糖酒副食品总公司完成0.76亿，同比增速26.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%。财税收入年度目标任务2.62亿，1-7月完成率46.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%，纳税百万元以上企业42家。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" w:eastAsia="zh-CN" w:bidi="ar-SA"/>
        </w:rPr>
        <w:t>重点产业项目抓紧推进。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1-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月规上软件业完成产值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2.03亿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，增速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551.5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%。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全街11栋商业商务楼宇，总建筑面积71.92万平米，入驻企业937家，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今年商业商务楼宇去化面积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4.1万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平方米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，完成率110%；新增楼宇企业95家，完成率109%，其中500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平方米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以上重点企业6家。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坚持精准服务项目，恒伟金垅项目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7栋住宅已封顶并全部预售完毕；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怀通大厦正在准备竣工验收；同时街道正有力推进芙蓉依号项目顺利实施。火车北站棚户区改造项目（二期）三维地块项目于4月16日发布公告，5月26日全面完成签约工作，8月31日实现腾房清零，9月7日顺利倒地，目前正积极推进挂牌出让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" w:eastAsia="zh-CN" w:bidi="ar-SA"/>
        </w:rPr>
        <w:t>三是服务企业取得良好成效。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年度市场主体总净增目标数1053家，其中企业净增目标540户、个体净增目标513户，截至10月总净增787户，其中企业净增513家，个体净增274家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。在库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四上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企业36家，今年新增目标任务12家，已完成新增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家，已摸底拟新增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家。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成立百名干部联千企工作领导小组，积极主动开展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送政策、解难题、优服务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行动，共计走访63家企业，累计收集51个问题，解决率实现百分之百，解决速度全区排名第1。共计举办3期以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政企联心、共话发展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为主题的政企晚餐会活动，组织软件服务业、商贸餐饮业、视频文创业等50家企业及相关区直部门参与，收集问题，精准服务，受到了企业的一致肯定。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聚焦重点，分析研判，强化硬核举措保安全稳</w:t>
      </w: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定。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一是时刻紧绷安全工作责任弦。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开展多种形式安全教育宣讲活动，督促指导企业建立健全安全生产管理制度，构建以企业为主体的隐患排查治理机制，组织开展各类安全生产培训8场次，消防安全讲座9场次，高层建筑及居民小区消防演练、培训8场次，共计发放宣传资料1万余份，推进安全教育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五进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活动，切实增强安全生产意识。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严格落实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国十五条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措施，切实加强对道路交通、建筑施工、高层建筑、消防、燃气、特种设备、醇基燃料等重点行业和领域的巡查监管。联合城管、公安、市监等相关部门对重点行业、重点场所集中开展专项整治行动，强化安全隐患的治理整改，截至目前排查隐患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491处，其中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排查整改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重大安全隐患5处。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常态化开展消防安全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敲门行动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以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勤巡查，保安全，护稳定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行动为抓手，对重点人群、重点场所、重点领域开展巡查走访并建立台账，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四类人群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建立一户一档，逐一上门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开展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三查三清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。打好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组合拳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整治电动车隐患，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全面摸底电动车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保有量、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停放充电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需求量等情况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引进专业力量建设充电桩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，结合电动车违规停放及充电专项整治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行动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，排查整改隐患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26处，剪线205根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二是聚力狠抓信访维稳主动权。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始终将信访维稳作为当前最重要的工作部署调度，结合每周行政例会，开展矛盾纠纷排查，分门别类精准处置，尽力消弭涉稳问题隐患。成立工作专班，每周专题调度，明确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火车北站片区棚户区改造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一期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）项目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3户、东风二村拆迁项目14户为重点信访问题，严格落实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五包一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工作制度，确保全面统筹、全程跟进、全员用力，集中力量统筹推进化解工作。统筹人员力量，实现特护期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零进京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目标，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化解涉军人员企业改制遗留问题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4个，实现涉军人员整体稳定；化解涉法涉诉问题1起，化解涉拆重点信访对象1起，解决涉拆群体中重点人员的生活困难问题2起，劝返计划进京上访人员15起。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妥善处置阿里十荟团群体维权和富兴、东风映工地农民工工资纠纷问题，绸厂职工群体遗留问题，刘家冲公寓业主产权办理及物业纠纷问题等10余起涉众矛盾。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今年以来各级信访件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四率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均达到或接近100%，进京到省、市信访数量同比下降明显，各级督办交办信访件均按时办结。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三是齐心牢筑疫情防控安全网。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重点推进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60岁及以上人群全程免疫、18岁及以上人群加强免疫接种，全街18岁以上人群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加强针接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" w:eastAsia="zh-CN" w:bidi="ar-SA"/>
        </w:rPr>
        <w:t>种率为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83.16%，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" w:eastAsia="zh-CN" w:bidi="ar-SA"/>
        </w:rPr>
        <w:t>全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区排名第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5，18岁以上人群加强针接种人数36246人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。制定疫情防控值守安排表，对系统推送的省市系统数据信息做到日清日结，认真做好摸排登记、分类管理，重点管控全部到位，共计完成数据摸排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58000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余条。抓好常态化疫情管控，落实外地回长人员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落地检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”“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三天两检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，市域范围内人员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7天至少完成1次核酸检测要求，督促各市场主体落实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场所码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扫验。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按照上级防指要求，结合居民实际需求，打造15分钟核酸采样圈，设置便民核酸采样点位9个，确保核酸检测免费混检服务工作日全覆盖、节假日不打烊，截至目前完成核酸检测五十万余人次。针对新时代广场疫情防控工作，街道第一时间成立临时作战指挥部，统筹全街力量，密切协同配合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6个工作组各司其职、团结一心，圆满完成疫情防控攻坚任务。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  <w:lang w:eastAsia="zh-CN"/>
        </w:rPr>
        <w:t>（四）聚焦短板，精细管理，争创老城小巷颜值新样板。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一是推进</w:t>
      </w:r>
      <w:r>
        <w:rPr>
          <w:rFonts w:hint="eastAsia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百街千巷</w:t>
      </w:r>
      <w:r>
        <w:rPr>
          <w:rFonts w:hint="eastAsia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整治。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完善街巷功能，优化街巷秩序，打造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东风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特色，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以高起点、高标准、高质量为目标要求，坚持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尽力而为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量力而行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，完成对东风路二条巷、六条巷、七条巷、沁园巷、胜利街5条街巷的全面综合整治，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并将东风路六条巷全力打造为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美丽街巷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，有效提升街巷环境面貌。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二是消除自建房屋隐患。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自望城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4.29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事故发生后，街道严格按照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危房不住人、人不进危房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”“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一户一策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、三个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不放过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和三个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不允许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等原则，从动员群众、宣传政策、技术支持、检测鉴定等方面扎实开展整治工作。共摸排居民自建房709栋，存在安全隐患的215栋均已全部整治到位。应鉴定房屋498栋，已全部进行鉴定，425栋已出鉴定报告。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三是提高城市管理精度。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严格按照</w:t>
      </w:r>
      <w:r>
        <w:rPr>
          <w:rStyle w:val="12"/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zh-TW"/>
        </w:rPr>
        <w:t>稳定、固化、延伸、提标</w:t>
      </w:r>
      <w:r>
        <w:rPr>
          <w:rStyle w:val="12"/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zh-TW"/>
        </w:rPr>
        <w:t>总要求和</w:t>
      </w:r>
      <w:r>
        <w:rPr>
          <w:rStyle w:val="12"/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zh-TW"/>
        </w:rPr>
        <w:t>四精五有</w:t>
      </w:r>
      <w:r>
        <w:rPr>
          <w:rStyle w:val="12"/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zh-TW"/>
        </w:rPr>
        <w:t>标准，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zh-TW" w:eastAsia="zh-CN"/>
        </w:rPr>
        <w:t>严格落实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zh-TW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zh-TW" w:eastAsia="zh-CN"/>
        </w:rPr>
        <w:t>门前三包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zh-TW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zh-TW" w:eastAsia="zh-CN"/>
        </w:rPr>
        <w:t>责任制，推进城区市容环境全域提升达标。统筹人员力量，对数字化多发重点区域每日开展整治，定人、定责、定岗、定社区、定区域严控市容秩序，防止数字化重复案卷发生，全年共计处置案卷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6787条，及时有效解决率99.75%。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四是加大生态保护力度。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大力宣传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六控十严禁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文明祭祖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春节期间禁燃禁放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等活动，发放环保类宣传资料22000余份，发布温馨提示200余条次，电子显示屏标语300余次。严格落实值班值守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，持续加大执法力度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，截至目前，整治覆盖黄土裸露共计约20000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平方米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，完成区蓝天办交办案件22起，执法中队相关案件15起，共计罚款113610元，结案率100%。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（五）聚焦民生，提升温度，推动幸福指数可持续攀升。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一是就业工作稳步推进。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坚持创新创业带动就业，以技能培训促进就业，组织大型招聘活动4场次，创业培训35人次，全街今年新增就业730人，失业人员再就业637人，困难人员再就业152人。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零就业家庭保持动态清零，有效处置欠薪平台投诉，动态结案率100%。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" w:eastAsia="zh-CN" w:bidi="ar-SA"/>
        </w:rPr>
        <w:t>二是困难帮扶有力有效。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严格落实民生政策，精准发放民生资金，精准救助特困群体。对低保、特困、高龄老人等弱势群体应帮尽帮、应发尽发，特困帮扶22人次，慈善助学4人次，办理非定向公租房申请23户，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完成残疾人家庭无障碍设施改造27户，社区无障碍改造1个，圆满完成街道残疾人联合会第三次换届选举工作。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" w:eastAsia="zh-CN" w:bidi="ar-SA"/>
        </w:rPr>
        <w:t>三是政务服务高效高质。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持续深化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放管服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改革，贯彻落实政府权责清单制度，逐项梳理分析，完成依申请类实施清单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114项。积极推行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网上办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就近办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减证办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帮代办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等多种工作模式，打通服务群众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最后一公里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，政务大厅全年累计办结政务服务事项624件，帮代办68项，充分利用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互联网+政务服务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一体化平台，街道本级、下辖社区共计办理11690件。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截至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月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日，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12345政务热线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共计回访工单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2075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件，及时联系率100%，问题解决率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85.11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%，满意率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98.99%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" w:eastAsia="zh-CN" w:bidi="ar-SA"/>
        </w:rPr>
        <w:t>。</w:t>
      </w:r>
      <w:r>
        <w:rPr>
          <w:rFonts w:hint="eastAsia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" w:eastAsia="zh-CN" w:bidi="ar-SA"/>
        </w:rPr>
        <w:t>四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" w:eastAsia="zh-CN" w:bidi="ar-SA"/>
        </w:rPr>
        <w:t>是反电诈工作有序有为。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建立工作台账，加强对接联系，掌握发案信息，制作发案情况表，第一时间分析案情并推送至相关社群，提高居民群众反诈意识。组织开展形式多样的反电诈宣传活动，组建反诈宣讲员队伍，重点围绕物业小区、公园广场、商业综合体等公共场所开展反诈宣传，组织反诈知识教育讲座、宣讲会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30余场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次，覆盖人数4000余人，发放宣传材料近万份，制作的反诈微电影《返利的诱惑》在新湖南等主流媒体平台发布。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" w:eastAsia="zh-CN" w:bidi="ar-SA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" w:eastAsia="zh-CN" w:bidi="ar-SA"/>
        </w:rPr>
        <w:t>是退役军人帮扶有温度。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全面推进优待证办理工作，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全街1478名退役军人申请办理优待证。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根据实际情况制定解困援助方案，有效化解陈伟信访行为。截至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10月，全街共计15名退役军人及其他优抚对象获得困难援助17800元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。通过开展宣传、走访慰问等一系列拥军活动，营造浓厚拥军氛围，国防科大社区在获评市级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拥军示范社区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的基础上，争创市级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五优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" w:eastAsia="zh-CN" w:bidi="ar-SA"/>
        </w:rPr>
        <w:t>退役军人服务站。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二、2022年特色亮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  <w:t>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今年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是党的二十大召开之年，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东风路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街道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在区委、区政府的坚强领导下，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加快建设财富、品质、幸福、文明新东风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顾秀莲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主任、桂英书记、卫江秘书长、泰波主任、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陈潇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副部长先后调研指导街道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关心下一代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工作、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基层党建工作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及信创产业，并给予充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分肯定。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pacing w:val="0"/>
          <w:kern w:val="0"/>
          <w:sz w:val="32"/>
          <w:szCs w:val="32"/>
          <w:lang w:val="en-US" w:eastAsia="zh-CN" w:bidi="ar"/>
        </w:rPr>
        <w:t>（一）特色亮点工作做法和经验。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32"/>
          <w:szCs w:val="32"/>
          <w:lang w:val="en-US" w:eastAsia="zh-CN" w:bidi="ar"/>
        </w:rPr>
        <w:t>一是围绕商圈党建引领做文章。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1"/>
          <w:szCs w:val="31"/>
          <w:lang w:val="en-US" w:eastAsia="zh-CN" w:bidi="ar"/>
        </w:rPr>
        <w:t>结合辖区楼宇群集实际，着眼商圈党建，在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富兴商圈党委率先推出由街道工委书记担任第一书记的做法，以区域化党建为契机，有效融合政企资源，推动政务服务前置化，助企纾困高效化，举办行业校招、科技展会等活动10余次，充分发挥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楼宇红管家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作用，积极搭建政企服务连心桥，帮助企业解决问题困难138个、开展服务代办128次。吸纳开福区软件行业党委、互联网行业党委及麒麟软件有限公司研发第二党支部、飞腾信息技术有限公司第二党支部等16家两新党组织共驻共建，持续扩大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朋友圈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32"/>
          <w:szCs w:val="32"/>
          <w:lang w:val="en-US" w:eastAsia="zh-CN" w:bidi="ar"/>
        </w:rPr>
        <w:t>二是围绕专业平台打造做文章。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联合区工信局、区科技局等部门，在富兴T6栋33-36楼成功打造开福信创产业发展基地，挂牌成立开福区信创产业联合创新研究院。协调富兴提供楼宇面积5500平方米，引进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创享云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众创服务平台，服务信创产业中小微企业孵化成长，目前已入驻企业11家。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32"/>
          <w:szCs w:val="32"/>
          <w:lang w:val="en-US" w:eastAsia="zh-CN" w:bidi="ar"/>
        </w:rPr>
        <w:t>三是围绕自建房屋隐患整治做文章。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以消除房屋安全隐患，确保人民群众生命财产安全，提升群众幸福指数为工作的出发点和落脚点，认真研究省、市、区相关文件政策精神，结合街道实际，突出国防科大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校园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周边、京广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铁路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沿线、德雅路沿线等重点区域，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开展“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有尺度又有温度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”的整治行动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分门别类，精准施策，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优化经营业态，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组建技术专班，争取多方支持。开创“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共筹共建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工作方式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，在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确保生产经营安全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的基础上做到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保证整治质量。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四、评价结果应用建议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（一）加强预算的精细化管理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结合上一年的预算执行情况和年度的收支预测科学编制预算。执行预算时，严格按照预算科目支出，合理规划预算开支，避免出现预算调整幅度较大，确需调剂的，按规定程序报经批准。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（二）严格执行费用报销的相关制度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报销费用时，街道财务审批人应严格把关费用报销的相关制度，在费用报销标准、发票的合规性、费用报销时限、原始凭证审核等方面严格执行相关的规定和制度，以确保费用报销程序合规，费用标准合规、费用真性合理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（二）政府采购按相关规定严格执行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在采购物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资</w:t>
      </w:r>
      <w:r>
        <w:rPr>
          <w:rFonts w:ascii="仿宋" w:hAnsi="仿宋" w:eastAsia="仿宋" w:cs="仿宋_GB2312"/>
          <w:color w:val="000000"/>
          <w:sz w:val="32"/>
          <w:szCs w:val="32"/>
        </w:rPr>
        <w:t>时，严格执行《政府采购法》和开福区政府制定的相关规定，对于需要在指定供应商名录选定供应商的，不得自行选择供应商；对于统一在网上采购的物质，严格按相关规定和程序办理采购程序；对有规定资产配置标准的资产采购，严格执行相关的资产配置标准，不得超标准采购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（三）加强固定资产管理，确保账实相符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对于达到固定资产入账条件的资产一律按固定资产入账，对所有入账的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固定资产</w:t>
      </w:r>
      <w:r>
        <w:rPr>
          <w:rFonts w:ascii="仿宋" w:hAnsi="仿宋" w:eastAsia="仿宋" w:cs="仿宋_GB2312"/>
          <w:color w:val="000000"/>
          <w:sz w:val="32"/>
          <w:szCs w:val="32"/>
        </w:rPr>
        <w:t>一律标识好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固定资产</w:t>
      </w:r>
      <w:r>
        <w:rPr>
          <w:rFonts w:ascii="仿宋" w:hAnsi="仿宋" w:eastAsia="仿宋" w:cs="仿宋_GB2312"/>
          <w:color w:val="000000"/>
          <w:sz w:val="32"/>
          <w:szCs w:val="32"/>
        </w:rPr>
        <w:t>卡片，固定资产管理工作责任到人，确保固定资产账实相符、大幅提高固定资产利用率。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（四）加强内控管理，规范会计核算，准确披露会计信息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严格原始凭证的审核，特别是原始凭证的完整性和合理性审核，严把审核关，核查合同、发票、经济业务发生的时间是否一致，金额是否一致，收款单位与合同是否一致等会计信息，以便真实反映预算实际执行情况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（五）加强工程项目验收工作的管理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在工程项目完工后，及时组织机构、人员进行验收，整理验收材料以备查验，对验收流程不完整、验收报告不完整或无验收报告工程款项一律不予支付，以确保工程项目开支的真实、合理。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（六）加强合同管理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严格把关合同签订、审核、支付，确保合同基本要素齐全、完备，严格按照合同条款进行支付。</w:t>
      </w:r>
    </w:p>
    <w:p/>
    <w:p>
      <w:pPr>
        <w:jc w:val="right"/>
        <w:rPr>
          <w:sz w:val="28"/>
          <w:szCs w:val="28"/>
        </w:rPr>
      </w:pPr>
    </w:p>
    <w:sectPr>
      <w:pgSz w:w="11906" w:h="16838"/>
      <w:pgMar w:top="1701" w:right="1588" w:bottom="1701" w:left="1587" w:header="851" w:footer="141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62A62"/>
    <w:multiLevelType w:val="singleLevel"/>
    <w:tmpl w:val="88762A62"/>
    <w:lvl w:ilvl="0" w:tentative="0">
      <w:start w:val="3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b/>
        <w:bCs/>
      </w:rPr>
    </w:lvl>
  </w:abstractNum>
  <w:abstractNum w:abstractNumId="1">
    <w:nsid w:val="5E9D7626"/>
    <w:multiLevelType w:val="multilevel"/>
    <w:tmpl w:val="5E9D7626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3NjI5ODljNjQ0NmMwZDE4MjViNGJiMDMwYTc5Y2MifQ=="/>
  </w:docVars>
  <w:rsids>
    <w:rsidRoot w:val="5FAC14D7"/>
    <w:rsid w:val="00351553"/>
    <w:rsid w:val="004B17B7"/>
    <w:rsid w:val="0063171B"/>
    <w:rsid w:val="00717EB5"/>
    <w:rsid w:val="009837FC"/>
    <w:rsid w:val="01B02BE4"/>
    <w:rsid w:val="079B7396"/>
    <w:rsid w:val="0BA50FA5"/>
    <w:rsid w:val="0D774756"/>
    <w:rsid w:val="13F20605"/>
    <w:rsid w:val="15A82BC6"/>
    <w:rsid w:val="18545C1B"/>
    <w:rsid w:val="1B391C8B"/>
    <w:rsid w:val="23304E22"/>
    <w:rsid w:val="2B9349FB"/>
    <w:rsid w:val="43D54138"/>
    <w:rsid w:val="49947C8F"/>
    <w:rsid w:val="5151448A"/>
    <w:rsid w:val="579B1F6B"/>
    <w:rsid w:val="58F91511"/>
    <w:rsid w:val="5FAC14D7"/>
    <w:rsid w:val="6E34689B"/>
    <w:rsid w:val="74B62F96"/>
    <w:rsid w:val="7A23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111"/>
    </w:pPr>
    <w:rPr>
      <w:rFonts w:ascii="Calibri" w:hAnsi="Calibri" w:eastAsia="Calibri" w:cs="Calibri"/>
      <w:color w:val="000000"/>
      <w:sz w:val="36"/>
      <w:szCs w:val="36"/>
      <w:u w:color="000000"/>
    </w:rPr>
  </w:style>
  <w:style w:type="paragraph" w:customStyle="1" w:styleId="3">
    <w:name w:val="正文首行缩进1"/>
    <w:basedOn w:val="1"/>
    <w:qFormat/>
    <w:uiPriority w:val="99"/>
    <w:pPr>
      <w:spacing w:after="120"/>
      <w:ind w:firstLine="420" w:firstLineChars="100"/>
    </w:pPr>
    <w:rPr>
      <w:rFonts w:ascii="Times New Roman" w:hAnsi="Times New Roman" w:cs="Times New Roman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Body text + Times New Roman"/>
    <w:basedOn w:val="1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zh-TW"/>
    </w:rPr>
  </w:style>
  <w:style w:type="character" w:customStyle="1" w:styleId="13">
    <w:name w:val="Body text_"/>
    <w:basedOn w:val="7"/>
    <w:link w:val="14"/>
    <w:qFormat/>
    <w:uiPriority w:val="0"/>
    <w:rPr>
      <w:rFonts w:ascii="MingLiU" w:hAnsi="MingLiU" w:eastAsia="MingLiU" w:cs="MingLiU"/>
      <w:sz w:val="29"/>
      <w:szCs w:val="29"/>
    </w:rPr>
  </w:style>
  <w:style w:type="paragraph" w:customStyle="1" w:styleId="14">
    <w:name w:val="正文文本1"/>
    <w:link w:val="13"/>
    <w:qFormat/>
    <w:uiPriority w:val="0"/>
    <w:pPr>
      <w:shd w:val="clear" w:color="auto" w:fill="FFFFFF"/>
      <w:spacing w:before="960" w:after="1200" w:line="0" w:lineRule="atLeast"/>
      <w:jc w:val="center"/>
    </w:pPr>
    <w:rPr>
      <w:rFonts w:ascii="MingLiU" w:hAnsi="MingLiU" w:eastAsia="MingLiU" w:cs="MingLiU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1012</Words>
  <Characters>5771</Characters>
  <Lines>48</Lines>
  <Paragraphs>13</Paragraphs>
  <TotalTime>17</TotalTime>
  <ScaleCrop>false</ScaleCrop>
  <LinksUpToDate>false</LinksUpToDate>
  <CharactersWithSpaces>6770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2020-09-27T02:09:00Z</dcterms:created>
  <dc:creator>玄夏</dc:creator>
  <cp:lastModifiedBy>Administrator</cp:lastModifiedBy>
  <dcterms:modified xsi:type="dcterms:W3CDTF">2023-10-10T03:12:20Z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8483DD86B11C4BFDBD9A78B1E3C7A2D3</vt:lpwstr>
  </property>
</Properties>
</file>