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lang w:val="en-US" w:eastAsia="zh-CN"/>
          <w14:textFill>
            <w14:solidFill>
              <w14:schemeClr w14:val="tx1"/>
            </w14:solidFill>
          </w14:textFill>
        </w:rPr>
        <w:t>2021年度重点项目绩效评价结果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ascii="Times New Roman" w:hAnsi="Times New Roman" w:eastAsia="黑体" w:cs="Times New Roman"/>
          <w:color w:val="000000" w:themeColor="text1"/>
          <w:kern w:val="0"/>
          <w:sz w:val="32"/>
          <w:szCs w:val="32"/>
          <w14:textFill>
            <w14:solidFill>
              <w14:schemeClr w14:val="tx1"/>
            </w14:solidFill>
          </w14:textFill>
        </w:rPr>
      </w:pP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w:t>
      </w:r>
      <w:r>
        <w:rPr>
          <w:rFonts w:hint="eastAsia" w:eastAsia="黑体"/>
          <w:color w:val="000000" w:themeColor="text1"/>
          <w:sz w:val="32"/>
          <w:szCs w:val="32"/>
          <w:lang w:eastAsia="zh-CN"/>
          <w14:textFill>
            <w14:solidFill>
              <w14:schemeClr w14:val="tx1"/>
            </w14:solidFill>
          </w14:textFill>
        </w:rPr>
        <w:t>重点</w:t>
      </w:r>
      <w:r>
        <w:rPr>
          <w:rFonts w:hint="eastAsia" w:eastAsia="黑体"/>
          <w:color w:val="000000" w:themeColor="text1"/>
          <w:sz w:val="32"/>
          <w:szCs w:val="32"/>
          <w14:textFill>
            <w14:solidFill>
              <w14:schemeClr w14:val="tx1"/>
            </w14:solidFill>
          </w14:textFill>
        </w:rPr>
        <w:t>项目支出</w:t>
      </w:r>
      <w:r>
        <w:rPr>
          <w:rFonts w:eastAsia="黑体"/>
          <w:color w:val="000000" w:themeColor="text1"/>
          <w:sz w:val="32"/>
          <w:szCs w:val="32"/>
          <w14:textFill>
            <w14:solidFill>
              <w14:schemeClr w14:val="tx1"/>
            </w14:solidFill>
          </w14:textFill>
        </w:rPr>
        <w:t>基本情况</w:t>
      </w:r>
    </w:p>
    <w:p>
      <w:pPr>
        <w:spacing w:line="560" w:lineRule="exact"/>
        <w:ind w:firstLine="640" w:firstLineChars="200"/>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20</w:t>
      </w:r>
      <w:r>
        <w:rPr>
          <w:color w:val="000000" w:themeColor="text1"/>
          <w:sz w:val="32"/>
          <w:szCs w:val="32"/>
          <w14:textFill>
            <w14:solidFill>
              <w14:schemeClr w14:val="tx1"/>
            </w14:solidFill>
          </w14:textFill>
        </w:rPr>
        <w:t>2</w:t>
      </w:r>
      <w:r>
        <w:rPr>
          <w:rFonts w:hint="eastAsia"/>
          <w:color w:val="000000" w:themeColor="text1"/>
          <w:sz w:val="32"/>
          <w:szCs w:val="32"/>
          <w:lang w:val="en-US" w:eastAsia="zh-CN"/>
          <w14:textFill>
            <w14:solidFill>
              <w14:schemeClr w14:val="tx1"/>
            </w14:solidFill>
          </w14:textFill>
        </w:rPr>
        <w:t>1</w:t>
      </w:r>
      <w:r>
        <w:rPr>
          <w:rFonts w:hint="eastAsia"/>
          <w:color w:val="000000" w:themeColor="text1"/>
          <w:sz w:val="32"/>
          <w:szCs w:val="32"/>
          <w:lang w:eastAsia="zh-CN"/>
          <w14:textFill>
            <w14:solidFill>
              <w14:schemeClr w14:val="tx1"/>
            </w14:solidFill>
          </w14:textFill>
        </w:rPr>
        <w:t>年本单位重点项目</w:t>
      </w:r>
      <w:r>
        <w:rPr>
          <w:rFonts w:hint="eastAsia"/>
          <w:color w:val="000000" w:themeColor="text1"/>
          <w:sz w:val="32"/>
          <w:szCs w:val="32"/>
          <w:lang w:val="en-US" w:eastAsia="zh-CN"/>
          <w14:textFill>
            <w14:solidFill>
              <w14:schemeClr w14:val="tx1"/>
            </w14:solidFill>
          </w14:textFill>
        </w:rPr>
        <w:t>2个，分别为公共服务项目、城市管理项目；年初预算分别为1202.78万元、959万元；实际支出分别为1656.2万元、1033.23万元。</w:t>
      </w:r>
      <w:r>
        <w:rPr>
          <w:rFonts w:hint="eastAsia"/>
          <w:color w:val="000000" w:themeColor="text1"/>
          <w:sz w:val="32"/>
          <w:szCs w:val="32"/>
          <w14:textFill>
            <w14:solidFill>
              <w14:schemeClr w14:val="tx1"/>
            </w14:solidFill>
          </w14:textFill>
        </w:rPr>
        <w:t>具体情况如下：</w:t>
      </w:r>
    </w:p>
    <w:p>
      <w:pPr>
        <w:spacing w:line="660" w:lineRule="exact"/>
        <w:ind w:firstLine="480" w:firstLineChars="200"/>
        <w:jc w:val="right"/>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金额单位：万元</w:t>
      </w:r>
    </w:p>
    <w:tbl>
      <w:tblPr>
        <w:tblStyle w:val="7"/>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057"/>
        <w:gridCol w:w="3588"/>
        <w:gridCol w:w="943"/>
        <w:gridCol w:w="1003"/>
        <w:gridCol w:w="89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35" w:type="dxa"/>
            <w:vMerge w:val="restart"/>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项目名称</w:t>
            </w:r>
          </w:p>
        </w:tc>
        <w:tc>
          <w:tcPr>
            <w:tcW w:w="1057" w:type="dxa"/>
            <w:vMerge w:val="restart"/>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项目类型</w:t>
            </w:r>
          </w:p>
        </w:tc>
        <w:tc>
          <w:tcPr>
            <w:tcW w:w="3588" w:type="dxa"/>
            <w:vMerge w:val="restart"/>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资金用途、使用方向</w:t>
            </w:r>
          </w:p>
        </w:tc>
        <w:tc>
          <w:tcPr>
            <w:tcW w:w="1946" w:type="dxa"/>
            <w:gridSpan w:val="2"/>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预算金额</w:t>
            </w:r>
          </w:p>
        </w:tc>
        <w:tc>
          <w:tcPr>
            <w:tcW w:w="1851" w:type="dxa"/>
            <w:gridSpan w:val="2"/>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5" w:type="dxa"/>
            <w:vMerge w:val="continue"/>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1057" w:type="dxa"/>
            <w:vMerge w:val="continue"/>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3588" w:type="dxa"/>
            <w:vMerge w:val="continue"/>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943" w:type="dxa"/>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指标</w:t>
            </w:r>
          </w:p>
          <w:p>
            <w:pPr>
              <w:spacing w:line="240" w:lineRule="auto"/>
              <w:jc w:val="center"/>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总额</w:t>
            </w:r>
          </w:p>
        </w:tc>
        <w:tc>
          <w:tcPr>
            <w:tcW w:w="1003" w:type="dxa"/>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其中：区级资金</w:t>
            </w:r>
          </w:p>
        </w:tc>
        <w:tc>
          <w:tcPr>
            <w:tcW w:w="899" w:type="dxa"/>
            <w:noWrap w:val="0"/>
            <w:vAlign w:val="center"/>
          </w:tcPr>
          <w:p>
            <w:pPr>
              <w:spacing w:line="240" w:lineRule="auto"/>
              <w:jc w:val="center"/>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支出总额</w:t>
            </w:r>
          </w:p>
        </w:tc>
        <w:tc>
          <w:tcPr>
            <w:tcW w:w="952" w:type="dxa"/>
            <w:noWrap w:val="0"/>
            <w:vAlign w:val="center"/>
          </w:tcPr>
          <w:p>
            <w:pPr>
              <w:spacing w:line="240" w:lineRule="auto"/>
              <w:jc w:val="center"/>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35" w:type="dxa"/>
            <w:noWrap w:val="0"/>
            <w:vAlign w:val="center"/>
          </w:tcPr>
          <w:p>
            <w:pPr>
              <w:spacing w:line="240" w:lineRule="auto"/>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城市管理</w:t>
            </w:r>
          </w:p>
        </w:tc>
        <w:tc>
          <w:tcPr>
            <w:tcW w:w="1057"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经常性</w:t>
            </w:r>
          </w:p>
        </w:tc>
        <w:tc>
          <w:tcPr>
            <w:tcW w:w="3588"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eastAsia="仿宋_GB2312"/>
                <w:color w:val="000000" w:themeColor="text1"/>
                <w:sz w:val="24"/>
                <w:szCs w:val="22"/>
                <w:lang w:val="en-US" w:eastAsia="zh-CN"/>
                <w14:textFill>
                  <w14:solidFill>
                    <w14:schemeClr w14:val="tx1"/>
                  </w14:solidFill>
                </w14:textFill>
              </w:rPr>
              <w:t>主要用于市容环境卫生、城管中队经费、环保工作、日常整治、拆控违经费、防汛防旱、爱卫、餐厨垃圾整治、数字化工作、提质提档、招牌整治、河长制工作、文明创建、安全生产、食品安全、垃圾分类等</w:t>
            </w:r>
            <w:r>
              <w:rPr>
                <w:rFonts w:hint="eastAsia"/>
                <w:color w:val="000000" w:themeColor="text1"/>
                <w:sz w:val="24"/>
                <w:szCs w:val="22"/>
                <w:lang w:val="en-US" w:eastAsia="zh-CN"/>
                <w14:textFill>
                  <w14:solidFill>
                    <w14:schemeClr w14:val="tx1"/>
                  </w14:solidFill>
                </w14:textFill>
              </w:rPr>
              <w:t>支出。</w:t>
            </w:r>
          </w:p>
        </w:tc>
        <w:tc>
          <w:tcPr>
            <w:tcW w:w="943"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959</w:t>
            </w:r>
          </w:p>
        </w:tc>
        <w:tc>
          <w:tcPr>
            <w:tcW w:w="1003"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959</w:t>
            </w:r>
          </w:p>
        </w:tc>
        <w:tc>
          <w:tcPr>
            <w:tcW w:w="899"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1033.23</w:t>
            </w:r>
          </w:p>
        </w:tc>
        <w:tc>
          <w:tcPr>
            <w:tcW w:w="952"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1033.23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35" w:type="dxa"/>
            <w:noWrap w:val="0"/>
            <w:vAlign w:val="center"/>
          </w:tcPr>
          <w:p>
            <w:pPr>
              <w:spacing w:line="240" w:lineRule="auto"/>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公共服务</w:t>
            </w:r>
          </w:p>
        </w:tc>
        <w:tc>
          <w:tcPr>
            <w:tcW w:w="1057" w:type="dxa"/>
            <w:noWrap w:val="0"/>
            <w:vAlign w:val="center"/>
          </w:tcPr>
          <w:p>
            <w:pPr>
              <w:spacing w:line="240" w:lineRule="auto"/>
              <w:jc w:val="both"/>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经常性</w:t>
            </w:r>
          </w:p>
        </w:tc>
        <w:tc>
          <w:tcPr>
            <w:tcW w:w="3588"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eastAsia="仿宋_GB2312"/>
                <w:color w:val="000000" w:themeColor="text1"/>
                <w:sz w:val="24"/>
                <w:szCs w:val="22"/>
                <w:lang w:val="en-US" w:eastAsia="zh-CN"/>
                <w14:textFill>
                  <w14:solidFill>
                    <w14:schemeClr w14:val="tx1"/>
                  </w14:solidFill>
                </w14:textFill>
              </w:rPr>
              <w:t>主要用于社会救助、居家养老服务、老龄工作、救灾救济、拥军优属、劳务就业、惠民项目、社会保障、社区社会化组织管理、卫生、计生等</w:t>
            </w:r>
            <w:r>
              <w:rPr>
                <w:rFonts w:hint="eastAsia"/>
                <w:color w:val="000000" w:themeColor="text1"/>
                <w:sz w:val="24"/>
                <w:szCs w:val="22"/>
                <w:lang w:val="en-US" w:eastAsia="zh-CN"/>
                <w14:textFill>
                  <w14:solidFill>
                    <w14:schemeClr w14:val="tx1"/>
                  </w14:solidFill>
                </w14:textFill>
              </w:rPr>
              <w:t>支出。</w:t>
            </w:r>
          </w:p>
        </w:tc>
        <w:tc>
          <w:tcPr>
            <w:tcW w:w="943"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1202.78</w:t>
            </w:r>
          </w:p>
        </w:tc>
        <w:tc>
          <w:tcPr>
            <w:tcW w:w="1003"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1202.78</w:t>
            </w:r>
          </w:p>
        </w:tc>
        <w:tc>
          <w:tcPr>
            <w:tcW w:w="899"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1656.2</w:t>
            </w:r>
          </w:p>
        </w:tc>
        <w:tc>
          <w:tcPr>
            <w:tcW w:w="952"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1656.2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780" w:type="dxa"/>
            <w:gridSpan w:val="3"/>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ab/>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合计</w:t>
            </w:r>
            <w:r>
              <w:rPr>
                <w:rFonts w:hint="eastAsia" w:cs="Times New Roman"/>
                <w:color w:val="000000" w:themeColor="text1"/>
                <w:sz w:val="21"/>
                <w:szCs w:val="21"/>
                <w:vertAlign w:val="baseline"/>
                <w:lang w:val="en-US" w:eastAsia="zh-CN"/>
                <w14:textFill>
                  <w14:solidFill>
                    <w14:schemeClr w14:val="tx1"/>
                  </w14:solidFill>
                </w14:textFill>
              </w:rPr>
              <w:t>：</w:t>
            </w:r>
          </w:p>
        </w:tc>
        <w:tc>
          <w:tcPr>
            <w:tcW w:w="943"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kern w:val="2"/>
                <w:sz w:val="21"/>
                <w:szCs w:val="21"/>
                <w:vertAlign w:val="baseline"/>
                <w:lang w:val="en-US" w:eastAsia="zh-CN" w:bidi="ar-SA"/>
                <w14:textFill>
                  <w14:solidFill>
                    <w14:schemeClr w14:val="tx1"/>
                  </w14:solidFill>
                </w14:textFill>
              </w:rPr>
              <w:t>2161.78</w:t>
            </w:r>
          </w:p>
        </w:tc>
        <w:tc>
          <w:tcPr>
            <w:tcW w:w="1003"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2161.78</w:t>
            </w:r>
          </w:p>
        </w:tc>
        <w:tc>
          <w:tcPr>
            <w:tcW w:w="899"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2689.43</w:t>
            </w:r>
          </w:p>
        </w:tc>
        <w:tc>
          <w:tcPr>
            <w:tcW w:w="952"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2689.43</w:t>
            </w:r>
          </w:p>
        </w:tc>
      </w:tr>
    </w:tbl>
    <w:p>
      <w:pPr>
        <w:numPr>
          <w:ilvl w:val="0"/>
          <w:numId w:val="1"/>
        </w:numPr>
        <w:spacing w:line="560" w:lineRule="exact"/>
        <w:ind w:firstLine="640" w:firstLineChars="200"/>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重点</w:t>
      </w:r>
      <w:r>
        <w:rPr>
          <w:rFonts w:hint="eastAsia" w:eastAsia="黑体"/>
          <w:color w:val="000000" w:themeColor="text1"/>
          <w:sz w:val="32"/>
          <w:szCs w:val="32"/>
          <w14:textFill>
            <w14:solidFill>
              <w14:schemeClr w14:val="tx1"/>
            </w14:solidFill>
          </w14:textFill>
        </w:rPr>
        <w:t>项目绩效</w:t>
      </w:r>
      <w:r>
        <w:rPr>
          <w:rFonts w:hint="eastAsia" w:eastAsia="黑体"/>
          <w:color w:val="000000" w:themeColor="text1"/>
          <w:sz w:val="32"/>
          <w:szCs w:val="32"/>
          <w:lang w:eastAsia="zh-CN"/>
          <w14:textFill>
            <w14:solidFill>
              <w14:schemeClr w14:val="tx1"/>
            </w14:solidFill>
          </w14:textFill>
        </w:rPr>
        <w:t>完成</w:t>
      </w:r>
      <w:r>
        <w:rPr>
          <w:rFonts w:hint="eastAsia" w:eastAsia="黑体"/>
          <w:color w:val="000000" w:themeColor="text1"/>
          <w:sz w:val="32"/>
          <w:szCs w:val="32"/>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1、城市管理项目主要绩效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城市管理方面，街道工委坚持协调发展与融合推进，让街区功能布局更清晰、配套设施更完善、生态环境更友好、社会秩序更稳定。一是提质改造落在实处。全面完成邮电小区、绸厂宿舍、胜利小区、砚瓦池社区和蚌塘社区共28栋房屋的提质改造工作，围绕国防科技大学东南西北四个校门周边环境以及德雅路沿线进行全面升级改造。积极争取将蚌塘社区、东风路社区纳入区提质改造计划，为确保提质项目顺利进行，街道拆除范围内违章建筑15处，共计871.77</w:t>
      </w:r>
      <w:r>
        <w:rPr>
          <w:rFonts w:hint="eastAsia" w:cs="Times New Roman"/>
          <w:color w:val="000000" w:themeColor="text1"/>
          <w:sz w:val="32"/>
          <w:szCs w:val="32"/>
          <w:lang w:val="en-US" w:eastAsia="zh-CN"/>
          <w14:textFill>
            <w14:solidFill>
              <w14:schemeClr w14:val="tx1"/>
            </w14:solidFill>
          </w14:textFill>
        </w:rPr>
        <w:t>平方米</w:t>
      </w:r>
      <w:r>
        <w:rPr>
          <w:rFonts w:hint="eastAsia" w:ascii="Times New Roman" w:hAnsi="Times New Roman" w:cs="Times New Roman"/>
          <w:color w:val="000000" w:themeColor="text1"/>
          <w:sz w:val="32"/>
          <w:szCs w:val="32"/>
          <w:lang w:val="en-US" w:eastAsia="zh-CN"/>
          <w14:textFill>
            <w14:solidFill>
              <w14:schemeClr w14:val="tx1"/>
            </w14:solidFill>
          </w14:textFill>
        </w:rPr>
        <w:t>。二是城市管理抓在细处。坚持用“绣花”功夫提升辖区环境，开展卫生大扫除活动100余次，组织</w:t>
      </w:r>
      <w:bookmarkStart w:id="0" w:name="_GoBack"/>
      <w:bookmarkEnd w:id="0"/>
      <w:r>
        <w:rPr>
          <w:rFonts w:hint="eastAsia" w:ascii="Times New Roman" w:hAnsi="Times New Roman" w:cs="Times New Roman"/>
          <w:color w:val="000000" w:themeColor="text1"/>
          <w:sz w:val="32"/>
          <w:szCs w:val="32"/>
          <w:lang w:val="en-US" w:eastAsia="zh-CN"/>
          <w14:textFill>
            <w14:solidFill>
              <w14:schemeClr w14:val="tx1"/>
            </w14:solidFill>
          </w14:textFill>
        </w:rPr>
        <w:t>拆违行动22次，拆除违章793</w:t>
      </w:r>
      <w:r>
        <w:rPr>
          <w:rFonts w:hint="eastAsia" w:cs="Times New Roman"/>
          <w:color w:val="000000" w:themeColor="text1"/>
          <w:sz w:val="32"/>
          <w:szCs w:val="32"/>
          <w:lang w:val="en-US" w:eastAsia="zh-CN"/>
          <w14:textFill>
            <w14:solidFill>
              <w14:schemeClr w14:val="tx1"/>
            </w14:solidFill>
          </w14:textFill>
        </w:rPr>
        <w:t>平方米</w:t>
      </w:r>
      <w:r>
        <w:rPr>
          <w:rFonts w:hint="eastAsia" w:ascii="Times New Roman" w:hAnsi="Times New Roman" w:cs="Times New Roman"/>
          <w:color w:val="000000" w:themeColor="text1"/>
          <w:sz w:val="32"/>
          <w:szCs w:val="32"/>
          <w:lang w:val="en-US" w:eastAsia="zh-CN"/>
          <w14:textFill>
            <w14:solidFill>
              <w14:schemeClr w14:val="tx1"/>
            </w14:solidFill>
          </w14:textFill>
        </w:rPr>
        <w:t>，188条交办案卷全部按时处置完成。持续做好全街生活垃圾分类工作，定人、定责、定岗、定点严控市容秩序及数字化重复案卷发生，6392条数字化案卷全部按时处置。做好德雅路提质改造后半篇文章，加强对沿线流动摊贩、店外经营、车辆乱停乱放等违法的集中整治，劝导</w:t>
      </w:r>
      <w:r>
        <w:rPr>
          <w:rFonts w:hint="eastAsia" w:cs="Times New Roman"/>
          <w:color w:val="000000" w:themeColor="text1"/>
          <w:sz w:val="32"/>
          <w:szCs w:val="32"/>
          <w:lang w:val="en-US" w:eastAsia="zh-CN"/>
          <w14:textFill>
            <w14:solidFill>
              <w14:schemeClr w14:val="tx1"/>
            </w14:solidFill>
          </w14:textFill>
        </w:rPr>
        <w:t>流动摊</w:t>
      </w:r>
      <w:r>
        <w:rPr>
          <w:rFonts w:hint="eastAsia" w:ascii="Times New Roman" w:hAnsi="Times New Roman" w:cs="Times New Roman"/>
          <w:color w:val="000000" w:themeColor="text1"/>
          <w:sz w:val="32"/>
          <w:szCs w:val="32"/>
          <w:lang w:val="en-US" w:eastAsia="zh-CN"/>
          <w14:textFill>
            <w14:solidFill>
              <w14:schemeClr w14:val="tx1"/>
            </w14:solidFill>
          </w14:textFill>
        </w:rPr>
        <w:t>500余处，取缔店外经营摊点476处，查处、劝离违规停放车辆180余台次，德雅路全线的品质面貌得到显著提升。持续加大执法力度，共纠正各类违章行为4500余起，办理行政处罚案件263起，罚款65780元。三是环境保护管在要处。在宣传动员上想办法、在小微站点管理上加力度、在门店管理上勤跑腿、在环保执法上动真格，全力推进蓝天保卫战新三年行动。</w:t>
      </w:r>
      <w:r>
        <w:rPr>
          <w:rFonts w:hint="eastAsia" w:cs="Times New Roman"/>
          <w:color w:val="000000" w:themeColor="text1"/>
          <w:sz w:val="32"/>
          <w:szCs w:val="32"/>
          <w:lang w:val="en-US" w:eastAsia="zh-CN"/>
          <w14:textFill>
            <w14:solidFill>
              <w14:schemeClr w14:val="tx1"/>
            </w14:solidFill>
          </w14:textFill>
        </w:rPr>
        <w:t>2021年</w:t>
      </w:r>
      <w:r>
        <w:rPr>
          <w:rFonts w:hint="eastAsia" w:ascii="Times New Roman" w:hAnsi="Times New Roman" w:cs="Times New Roman"/>
          <w:color w:val="000000" w:themeColor="text1"/>
          <w:sz w:val="32"/>
          <w:szCs w:val="32"/>
          <w:lang w:val="en-US" w:eastAsia="zh-CN"/>
          <w14:textFill>
            <w14:solidFill>
              <w14:schemeClr w14:val="tx1"/>
            </w14:solidFill>
          </w14:textFill>
        </w:rPr>
        <w:t>以来，累计整治覆盖黄土裸露问题约47000</w:t>
      </w:r>
      <w:r>
        <w:rPr>
          <w:rFonts w:hint="eastAsia" w:cs="Times New Roman"/>
          <w:color w:val="000000" w:themeColor="text1"/>
          <w:sz w:val="32"/>
          <w:szCs w:val="32"/>
          <w:lang w:val="en-US" w:eastAsia="zh-CN"/>
          <w14:textFill>
            <w14:solidFill>
              <w14:schemeClr w14:val="tx1"/>
            </w14:solidFill>
          </w14:textFill>
        </w:rPr>
        <w:t>平方米</w:t>
      </w:r>
      <w:r>
        <w:rPr>
          <w:rFonts w:hint="eastAsia" w:ascii="Times New Roman" w:hAnsi="Times New Roman" w:cs="Times New Roman"/>
          <w:color w:val="000000" w:themeColor="text1"/>
          <w:sz w:val="32"/>
          <w:szCs w:val="32"/>
          <w:lang w:val="en-US" w:eastAsia="zh-CN"/>
          <w14:textFill>
            <w14:solidFill>
              <w14:schemeClr w14:val="tx1"/>
            </w14:solidFill>
          </w14:textFill>
        </w:rPr>
        <w:t>，办理案件48起，罚款金额27600元，对辖区233家餐饮门店建立动态管理台账，完成147家门店油烟净化器安装。认真梳理2017年以来的25个环保督察交办案件，举一反三，对重点区域开展专项整治，积极寻求解决方法和长效措施，全力推动环保工作走深走实。截至目前，我街道空气优良率为81.2%，重污染天数为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2、公共服务项目主要绩效：</w:t>
      </w:r>
    </w:p>
    <w:p>
      <w:pPr>
        <w:spacing w:line="560" w:lineRule="exact"/>
        <w:ind w:firstLine="640" w:firstLineChars="200"/>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公共服务方面，街道工委始终坚持以人民为中心的</w:t>
      </w:r>
      <w:r>
        <w:rPr>
          <w:rFonts w:hint="eastAsia" w:cs="Times New Roman"/>
          <w:color w:val="000000" w:themeColor="text1"/>
          <w:sz w:val="32"/>
          <w:szCs w:val="32"/>
          <w:lang w:val="en-US" w:eastAsia="zh-CN"/>
          <w14:textFill>
            <w14:solidFill>
              <w14:schemeClr w14:val="tx1"/>
            </w14:solidFill>
          </w14:textFill>
        </w:rPr>
        <w:t>发展</w:t>
      </w:r>
      <w:r>
        <w:rPr>
          <w:rFonts w:hint="eastAsia" w:ascii="Times New Roman" w:hAnsi="Times New Roman" w:cs="Times New Roman"/>
          <w:color w:val="000000" w:themeColor="text1"/>
          <w:sz w:val="32"/>
          <w:szCs w:val="32"/>
          <w:lang w:val="en-US" w:eastAsia="zh-CN"/>
          <w14:textFill>
            <w14:solidFill>
              <w14:schemeClr w14:val="tx1"/>
            </w14:solidFill>
          </w14:textFill>
        </w:rPr>
        <w:t>思想，把创造高品质生活作为高质量发展的目标要求，更好满足居民群众对美好生活多样化、多层次、多方面的需求。一是把好疫情防控每一道关口。</w:t>
      </w:r>
      <w:r>
        <w:rPr>
          <w:rFonts w:hint="eastAsia" w:cs="Times New Roman"/>
          <w:color w:val="000000" w:themeColor="text1"/>
          <w:sz w:val="32"/>
          <w:szCs w:val="32"/>
          <w:lang w:val="en-US" w:eastAsia="zh-CN"/>
          <w14:textFill>
            <w14:solidFill>
              <w14:schemeClr w14:val="tx1"/>
            </w14:solidFill>
          </w14:textFill>
        </w:rPr>
        <w:t>2021年</w:t>
      </w:r>
      <w:r>
        <w:rPr>
          <w:rFonts w:hint="eastAsia" w:ascii="Times New Roman" w:hAnsi="Times New Roman" w:cs="Times New Roman"/>
          <w:color w:val="000000" w:themeColor="text1"/>
          <w:sz w:val="32"/>
          <w:szCs w:val="32"/>
          <w:lang w:val="en-US" w:eastAsia="zh-CN"/>
          <w14:textFill>
            <w14:solidFill>
              <w14:schemeClr w14:val="tx1"/>
            </w14:solidFill>
          </w14:textFill>
        </w:rPr>
        <w:t>共摸排疫情防控数据12790余人次，在富兴时代广场、东风二小、王家垅社区鸥波港湾等地多次组织开展全员核酸检测应急演练，组织新冠疫苗临时接种60余场次，组织完成疫苗接种第一剂52314人，完成全程接种人数52078人，全程接种率99.55%。二是规范民生保障每一个程序。全年累计发放低保5117户，共计456.7063万元；发放特困供养57户，共计64.4150万元；发放困难残疾人补贴4975人次，共计111.7620万元；给予109人次特困医疗救助，共计53.9506万元；每季度发放高龄补贴68.39万元。配合国防科大开展违规住房清理行动，主动进行非定向公租房的申请工作，得到科大高度认可。全力做好社保回头看核查工作，及时稽核多发社保金额3万余元。全面完成卫健工作各项目标任务，荣获“2021年度长沙市无偿献血组织先进集体”称号。完成既有多层房屋电梯加装44台，实现25处公共停车场接入全市统一智慧停车平台。三是抓住食品安全每一个环节。街道利用创建食品安全示范城市契机，扎实开展各项专项整治行动，尤其加强对农贸市场、学校及其周边、幼托机构等重点区域的管理，打造富兴金融中心食品示范一条街。严格执法监管，</w:t>
      </w:r>
      <w:r>
        <w:rPr>
          <w:rFonts w:hint="eastAsia" w:cs="Times New Roman"/>
          <w:color w:val="000000" w:themeColor="text1"/>
          <w:sz w:val="32"/>
          <w:szCs w:val="32"/>
          <w:lang w:val="en-US" w:eastAsia="zh-CN"/>
          <w14:textFill>
            <w14:solidFill>
              <w14:schemeClr w14:val="tx1"/>
            </w14:solidFill>
          </w14:textFill>
        </w:rPr>
        <w:t>2021年</w:t>
      </w:r>
      <w:r>
        <w:rPr>
          <w:rFonts w:hint="eastAsia" w:ascii="Times New Roman" w:hAnsi="Times New Roman" w:cs="Times New Roman"/>
          <w:color w:val="000000" w:themeColor="text1"/>
          <w:sz w:val="32"/>
          <w:szCs w:val="32"/>
          <w:lang w:val="en-US" w:eastAsia="zh-CN"/>
          <w14:textFill>
            <w14:solidFill>
              <w14:schemeClr w14:val="tx1"/>
            </w14:solidFill>
          </w14:textFill>
        </w:rPr>
        <w:t>共立案19起，结案14起，共计罚没金额8947元。四是做好退役军人每一项服务。按照“五有”标准，街道本级和8个社区退役军人服务站建设高质量达标。有效化解两起上访行为，积极开展困难帮扶，营造有温度的拥军氛围。国防科大社区科苑驿站获评“2021年度长沙市双拥创建示范点”，现积极争创“省示范退役军人服务站”当中。</w:t>
      </w:r>
    </w:p>
    <w:p>
      <w:pPr>
        <w:spacing w:line="560" w:lineRule="exact"/>
        <w:ind w:firstLine="640" w:firstLineChars="200"/>
        <w:rPr>
          <w:rFonts w:hint="eastAsia" w:ascii="Times New Roman" w:hAnsi="Times New Roman" w:eastAsia="黑体" w:cs="Times New Roman"/>
          <w:sz w:val="32"/>
          <w:szCs w:val="32"/>
          <w:lang w:val="en-US" w:eastAsia="zh-CN"/>
        </w:rPr>
      </w:pPr>
      <w:r>
        <w:rPr>
          <w:rFonts w:hint="eastAsia" w:ascii="仿宋" w:eastAsia="仿宋" w:cs="仿宋"/>
          <w:sz w:val="32"/>
          <w:szCs w:val="32"/>
          <w:lang w:eastAsia="zh-CN"/>
        </w:rPr>
        <w:t>本单位重点项目均完成年初绩效目标，实现了依法有效地使用财政资金，提高财政资金使用效率，在完成单位目标任务中合理分配人、财、物，使之达到较高的工作效率和水平，提高服务质量，</w:t>
      </w:r>
      <w:r>
        <w:rPr>
          <w:rFonts w:hint="eastAsia"/>
          <w:sz w:val="32"/>
          <w:szCs w:val="32"/>
        </w:rPr>
        <w:t>落实区委、区政府各项指示和决定</w:t>
      </w:r>
      <w:r>
        <w:rPr>
          <w:rFonts w:hint="eastAsia" w:ascii="仿宋" w:eastAsia="仿宋" w:cs="仿宋"/>
          <w:sz w:val="32"/>
          <w:szCs w:val="32"/>
          <w:lang w:eastAsia="zh-CN"/>
        </w:rPr>
        <w:t>，完成年初区委、区政府下达的各项指标。抓好辖区的社会主义精神文明建设，构建社会主义和谐社会，提升社会公众或服务对象满意度， 让群众舒心、放心、安心。总体符合年度预算目标，社会效益显著，服务对象满意度较高，有效推进了绩效目标的实施。</w:t>
      </w:r>
    </w:p>
    <w:p>
      <w:pPr>
        <w:spacing w:line="560" w:lineRule="exact"/>
        <w:ind w:firstLine="640" w:firstLineChars="200"/>
        <w:rPr>
          <w:rFonts w:hint="eastAsia" w:eastAsia="黑体"/>
          <w:sz w:val="32"/>
          <w:szCs w:val="32"/>
          <w:lang w:eastAsia="zh-CN"/>
        </w:rPr>
      </w:pPr>
      <w:r>
        <w:rPr>
          <w:rFonts w:hint="eastAsia" w:eastAsia="黑体"/>
          <w:sz w:val="32"/>
          <w:szCs w:val="32"/>
          <w:lang w:eastAsia="zh-CN"/>
        </w:rPr>
        <w:t>三</w:t>
      </w:r>
      <w:r>
        <w:rPr>
          <w:rFonts w:eastAsia="黑体"/>
          <w:sz w:val="32"/>
          <w:szCs w:val="32"/>
        </w:rPr>
        <w:t>、存在问题</w:t>
      </w:r>
      <w:r>
        <w:rPr>
          <w:rFonts w:hint="eastAsia" w:eastAsia="黑体"/>
          <w:sz w:val="32"/>
          <w:szCs w:val="32"/>
          <w:lang w:eastAsia="zh-CN"/>
        </w:rPr>
        <w:t>和改进措施</w:t>
      </w:r>
    </w:p>
    <w:p>
      <w:pPr>
        <w:spacing w:line="560" w:lineRule="exact"/>
        <w:ind w:firstLine="640" w:firstLineChars="200"/>
        <w:rPr>
          <w:rFonts w:hint="eastAsia" w:ascii="Times New Roman" w:hAnsi="Times New Roman" w:cs="Times New Roman"/>
          <w:sz w:val="32"/>
          <w:szCs w:val="32"/>
          <w:lang w:val="en-US" w:eastAsia="zh-CN"/>
        </w:rPr>
      </w:pPr>
      <w:r>
        <w:rPr>
          <w:rFonts w:hint="eastAsia" w:ascii="仿宋" w:eastAsia="仿宋" w:cs="仿宋"/>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eastAsia" w:ascii="仿宋" w:hAnsi="Times New Roman" w:eastAsia="仿宋" w:cs="仿宋"/>
          <w:sz w:val="32"/>
          <w:szCs w:val="32"/>
          <w:lang w:val="en-US" w:eastAsia="zh-CN"/>
        </w:rPr>
        <w:t>预算编制的预见性有待进一步加强，项目管理水平需进一步提高，资金分配和安排的科学性有待加强。</w:t>
      </w:r>
    </w:p>
    <w:p>
      <w:pPr>
        <w:spacing w:line="560" w:lineRule="exact"/>
        <w:ind w:firstLine="640" w:firstLineChars="200"/>
        <w:rPr>
          <w:rFonts w:hint="default"/>
          <w:lang w:val="en-US" w:eastAsia="zh-CN"/>
        </w:rPr>
      </w:pPr>
      <w:r>
        <w:rPr>
          <w:rFonts w:hint="eastAsia" w:ascii="仿宋" w:eastAsia="仿宋" w:cs="仿宋"/>
          <w:sz w:val="32"/>
          <w:szCs w:val="32"/>
          <w:lang w:val="en-US" w:eastAsia="zh-CN"/>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Times New Roman" w:eastAsia="仿宋" w:cs="仿宋"/>
          <w:sz w:val="32"/>
          <w:szCs w:val="32"/>
          <w:lang w:val="en-US" w:eastAsia="zh-CN"/>
        </w:rPr>
      </w:pPr>
      <w:r>
        <w:rPr>
          <w:rFonts w:hint="eastAsia" w:ascii="仿宋" w:hAnsi="Times New Roman" w:eastAsia="仿宋" w:cs="仿宋"/>
          <w:sz w:val="32"/>
          <w:szCs w:val="32"/>
          <w:lang w:val="en-US" w:eastAsia="zh-CN"/>
        </w:rPr>
        <w:t>1.继续加强指导和培训的力度，加强对各部办申报项目绩效的指导，使项目编制更加符合绩效评价相关要求；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Times New Roman" w:eastAsia="仿宋" w:cs="仿宋"/>
          <w:sz w:val="32"/>
          <w:szCs w:val="32"/>
          <w:lang w:val="en-US" w:eastAsia="zh-CN"/>
        </w:rPr>
      </w:pPr>
      <w:r>
        <w:rPr>
          <w:rFonts w:hint="eastAsia" w:ascii="仿宋" w:hAnsi="Times New Roman" w:eastAsia="仿宋" w:cs="仿宋"/>
          <w:sz w:val="32"/>
          <w:szCs w:val="32"/>
          <w:lang w:val="en-US" w:eastAsia="zh-CN"/>
        </w:rPr>
        <w:t>2.适时开展培训，提高各部门、实施单位对专项资金使用绩效评价工作，重要意义的认识，牢固树立绩效管理理念；</w:t>
      </w:r>
    </w:p>
    <w:p>
      <w:pPr>
        <w:widowControl/>
        <w:ind w:firstLine="640"/>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3.同时进一步提高绩效评价工作方式、方法，将已完成的所有工作绩效成果充分体现出来。精准预算、严格执行将是我们绩效管理的工作方向。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1E7E0"/>
    <w:multiLevelType w:val="singleLevel"/>
    <w:tmpl w:val="3B31E7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WExNGE0MmQ0YjUwOTZhNTVhMjQ2ZjcwMzgwMGEifQ=="/>
  </w:docVars>
  <w:rsids>
    <w:rsidRoot w:val="237B2EF1"/>
    <w:rsid w:val="006D5CCB"/>
    <w:rsid w:val="00EF5C9F"/>
    <w:rsid w:val="06D44FEC"/>
    <w:rsid w:val="0C0B1F1C"/>
    <w:rsid w:val="166E538C"/>
    <w:rsid w:val="237B2EF1"/>
    <w:rsid w:val="359A1A59"/>
    <w:rsid w:val="4D536A5A"/>
    <w:rsid w:val="5830465A"/>
    <w:rsid w:val="59F3602E"/>
    <w:rsid w:val="5B9F0D11"/>
    <w:rsid w:val="65C763E3"/>
    <w:rsid w:val="6A7A5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ind w:left="111"/>
    </w:pPr>
    <w:rPr>
      <w:rFonts w:ascii="Calibri" w:hAnsi="Calibri" w:eastAsia="Calibri" w:cs="Calibri"/>
      <w:color w:val="000000"/>
      <w:sz w:val="36"/>
      <w:szCs w:val="36"/>
    </w:rPr>
  </w:style>
  <w:style w:type="paragraph" w:customStyle="1" w:styleId="3">
    <w:name w:val="正文首行缩进1"/>
    <w:basedOn w:val="1"/>
    <w:qFormat/>
    <w:uiPriority w:val="99"/>
    <w:pPr>
      <w:spacing w:after="120"/>
      <w:ind w:firstLine="420" w:firstLineChars="100"/>
    </w:pPr>
    <w:rPr>
      <w:rFonts w:ascii="Times New Roman" w:hAnsi="Times New Roman"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2194</Words>
  <Characters>2407</Characters>
  <Lines>0</Lines>
  <Paragraphs>0</Paragraphs>
  <TotalTime>7</TotalTime>
  <ScaleCrop>false</ScaleCrop>
  <LinksUpToDate>false</LinksUpToDate>
  <CharactersWithSpaces>2409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2022-08-30T08:55:00Z</dcterms:created>
  <dc:creator>W</dc:creator>
  <cp:lastModifiedBy>田琢琢</cp:lastModifiedBy>
  <dcterms:modified xsi:type="dcterms:W3CDTF">2022-09-19T03:42:28Z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4EA0E5BF36E645FBB3554325D7B9C654</vt:lpwstr>
  </property>
</Properties>
</file>