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eastAsia="方正小标宋简体"/>
          <w:color w:val="000000" w:themeColor="text1"/>
          <w:sz w:val="44"/>
          <w:szCs w:val="44"/>
          <w:lang w:val="en-US" w:eastAsia="zh-CN"/>
          <w14:textFill>
            <w14:solidFill>
              <w14:schemeClr w14:val="tx1"/>
            </w14:solidFill>
          </w14:textFill>
        </w:rPr>
      </w:pPr>
      <w:r>
        <w:rPr>
          <w:rFonts w:hint="eastAsia" w:ascii="方正小标宋简体" w:eastAsia="方正小标宋简体"/>
          <w:color w:val="000000" w:themeColor="text1"/>
          <w:sz w:val="44"/>
          <w:szCs w:val="44"/>
          <w:lang w:val="en-US" w:eastAsia="zh-CN"/>
          <w14:textFill>
            <w14:solidFill>
              <w14:schemeClr w14:val="tx1"/>
            </w14:solidFill>
          </w14:textFill>
        </w:rPr>
        <w:t>2020年度重点项目绩效评价结果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ascii="Times New Roman" w:hAnsi="Times New Roman" w:eastAsia="黑体" w:cs="Times New Roman"/>
          <w:color w:val="000000" w:themeColor="text1"/>
          <w:kern w:val="0"/>
          <w:sz w:val="32"/>
          <w:szCs w:val="32"/>
          <w14:textFill>
            <w14:solidFill>
              <w14:schemeClr w14:val="tx1"/>
            </w14:solidFill>
          </w14:textFill>
        </w:rPr>
      </w:pPr>
    </w:p>
    <w:p>
      <w:pPr>
        <w:spacing w:line="560" w:lineRule="exact"/>
        <w:ind w:firstLine="640" w:firstLineChars="20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一、</w:t>
      </w:r>
      <w:r>
        <w:rPr>
          <w:rFonts w:hint="eastAsia" w:eastAsia="黑体"/>
          <w:color w:val="000000" w:themeColor="text1"/>
          <w:sz w:val="32"/>
          <w:szCs w:val="32"/>
          <w:lang w:eastAsia="zh-CN"/>
          <w14:textFill>
            <w14:solidFill>
              <w14:schemeClr w14:val="tx1"/>
            </w14:solidFill>
          </w14:textFill>
        </w:rPr>
        <w:t>重点</w:t>
      </w:r>
      <w:r>
        <w:rPr>
          <w:rFonts w:hint="eastAsia" w:eastAsia="黑体"/>
          <w:color w:val="000000" w:themeColor="text1"/>
          <w:sz w:val="32"/>
          <w:szCs w:val="32"/>
          <w14:textFill>
            <w14:solidFill>
              <w14:schemeClr w14:val="tx1"/>
            </w14:solidFill>
          </w14:textFill>
        </w:rPr>
        <w:t>项目支出</w:t>
      </w:r>
      <w:r>
        <w:rPr>
          <w:rFonts w:eastAsia="黑体"/>
          <w:color w:val="000000" w:themeColor="text1"/>
          <w:sz w:val="32"/>
          <w:szCs w:val="32"/>
          <w14:textFill>
            <w14:solidFill>
              <w14:schemeClr w14:val="tx1"/>
            </w14:solidFill>
          </w14:textFill>
        </w:rPr>
        <w:t>基本情况</w:t>
      </w:r>
    </w:p>
    <w:p>
      <w:pPr>
        <w:spacing w:line="560" w:lineRule="exact"/>
        <w:ind w:firstLine="640" w:firstLineChars="200"/>
        <w:rPr>
          <w:rFonts w:hint="eastAsia"/>
          <w:color w:val="000000" w:themeColor="text1"/>
          <w:sz w:val="32"/>
          <w:szCs w:val="32"/>
          <w14:textFill>
            <w14:solidFill>
              <w14:schemeClr w14:val="tx1"/>
            </w14:solidFill>
          </w14:textFill>
        </w:rPr>
      </w:pPr>
      <w:r>
        <w:rPr>
          <w:rFonts w:hint="eastAsia"/>
          <w:color w:val="000000" w:themeColor="text1"/>
          <w:sz w:val="32"/>
          <w:szCs w:val="32"/>
          <w14:textFill>
            <w14:solidFill>
              <w14:schemeClr w14:val="tx1"/>
            </w14:solidFill>
          </w14:textFill>
        </w:rPr>
        <w:t>20</w:t>
      </w:r>
      <w:r>
        <w:rPr>
          <w:color w:val="000000" w:themeColor="text1"/>
          <w:sz w:val="32"/>
          <w:szCs w:val="32"/>
          <w14:textFill>
            <w14:solidFill>
              <w14:schemeClr w14:val="tx1"/>
            </w14:solidFill>
          </w14:textFill>
        </w:rPr>
        <w:t>20</w:t>
      </w:r>
      <w:r>
        <w:rPr>
          <w:rFonts w:hint="eastAsia"/>
          <w:color w:val="000000" w:themeColor="text1"/>
          <w:sz w:val="32"/>
          <w:szCs w:val="32"/>
          <w:lang w:eastAsia="zh-CN"/>
          <w14:textFill>
            <w14:solidFill>
              <w14:schemeClr w14:val="tx1"/>
            </w14:solidFill>
          </w14:textFill>
        </w:rPr>
        <w:t>年本单位重点项目</w:t>
      </w:r>
      <w:r>
        <w:rPr>
          <w:rFonts w:hint="eastAsia"/>
          <w:color w:val="000000" w:themeColor="text1"/>
          <w:sz w:val="32"/>
          <w:szCs w:val="32"/>
          <w:lang w:val="en-US" w:eastAsia="zh-CN"/>
          <w14:textFill>
            <w14:solidFill>
              <w14:schemeClr w14:val="tx1"/>
            </w14:solidFill>
          </w14:textFill>
        </w:rPr>
        <w:t>2个，分别为公共服务项目、城市管理项目；年初预算分别为1681.6万元、857.5万元；实际支出分别为2086.26万元、763.98万元。</w:t>
      </w:r>
      <w:r>
        <w:rPr>
          <w:rFonts w:hint="eastAsia"/>
          <w:color w:val="000000" w:themeColor="text1"/>
          <w:sz w:val="32"/>
          <w:szCs w:val="32"/>
          <w14:textFill>
            <w14:solidFill>
              <w14:schemeClr w14:val="tx1"/>
            </w14:solidFill>
          </w14:textFill>
        </w:rPr>
        <w:t>具体情况如下：</w:t>
      </w:r>
    </w:p>
    <w:p>
      <w:pPr>
        <w:spacing w:line="660" w:lineRule="exact"/>
        <w:ind w:firstLine="480" w:firstLineChars="200"/>
        <w:jc w:val="right"/>
        <w:rPr>
          <w:rFonts w:hint="eastAsia" w:ascii="Times New Roman" w:hAnsi="Times New Roman" w:cs="Times New Roman"/>
          <w:color w:val="000000" w:themeColor="text1"/>
          <w:sz w:val="32"/>
          <w:szCs w:val="32"/>
          <w:lang w:val="en-US" w:eastAsia="zh-CN"/>
          <w14:textFill>
            <w14:solidFill>
              <w14:schemeClr w14:val="tx1"/>
            </w14:solidFill>
          </w14:textFill>
        </w:rPr>
      </w:pPr>
      <w:r>
        <w:rPr>
          <w:rFonts w:hint="eastAsia" w:ascii="Times New Roman" w:hAnsi="Times New Roman" w:cs="Times New Roman"/>
          <w:color w:val="000000" w:themeColor="text1"/>
          <w:sz w:val="24"/>
          <w:szCs w:val="24"/>
          <w:lang w:val="en-US" w:eastAsia="zh-CN"/>
          <w14:textFill>
            <w14:solidFill>
              <w14:schemeClr w14:val="tx1"/>
            </w14:solidFill>
          </w14:textFill>
        </w:rPr>
        <w:t>金额单位：万元</w:t>
      </w:r>
    </w:p>
    <w:tbl>
      <w:tblPr>
        <w:tblStyle w:val="6"/>
        <w:tblW w:w="9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1057"/>
        <w:gridCol w:w="3588"/>
        <w:gridCol w:w="943"/>
        <w:gridCol w:w="1003"/>
        <w:gridCol w:w="899"/>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135" w:type="dxa"/>
            <w:vMerge w:val="restart"/>
            <w:noWrap w:val="0"/>
            <w:vAlign w:val="center"/>
          </w:tcPr>
          <w:p>
            <w:pPr>
              <w:spacing w:line="240" w:lineRule="auto"/>
              <w:jc w:val="cente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项目名称</w:t>
            </w:r>
          </w:p>
        </w:tc>
        <w:tc>
          <w:tcPr>
            <w:tcW w:w="1057" w:type="dxa"/>
            <w:vMerge w:val="restart"/>
            <w:noWrap w:val="0"/>
            <w:vAlign w:val="center"/>
          </w:tcPr>
          <w:p>
            <w:pPr>
              <w:spacing w:line="240" w:lineRule="auto"/>
              <w:jc w:val="cente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项目类型</w:t>
            </w:r>
          </w:p>
        </w:tc>
        <w:tc>
          <w:tcPr>
            <w:tcW w:w="3588" w:type="dxa"/>
            <w:vMerge w:val="restart"/>
            <w:noWrap w:val="0"/>
            <w:vAlign w:val="center"/>
          </w:tcPr>
          <w:p>
            <w:pPr>
              <w:spacing w:line="240" w:lineRule="auto"/>
              <w:jc w:val="cente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资金用途、使用方向</w:t>
            </w:r>
          </w:p>
        </w:tc>
        <w:tc>
          <w:tcPr>
            <w:tcW w:w="1946" w:type="dxa"/>
            <w:gridSpan w:val="2"/>
            <w:noWrap w:val="0"/>
            <w:vAlign w:val="center"/>
          </w:tcPr>
          <w:p>
            <w:pPr>
              <w:spacing w:line="240" w:lineRule="auto"/>
              <w:jc w:val="cente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预算金额</w:t>
            </w:r>
          </w:p>
        </w:tc>
        <w:tc>
          <w:tcPr>
            <w:tcW w:w="1851" w:type="dxa"/>
            <w:gridSpan w:val="2"/>
            <w:noWrap w:val="0"/>
            <w:vAlign w:val="center"/>
          </w:tcPr>
          <w:p>
            <w:pPr>
              <w:spacing w:line="240" w:lineRule="auto"/>
              <w:jc w:val="cente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35" w:type="dxa"/>
            <w:vMerge w:val="continue"/>
            <w:noWrap w:val="0"/>
            <w:vAlign w:val="center"/>
          </w:tcPr>
          <w:p>
            <w:pPr>
              <w:spacing w:line="240" w:lineRule="auto"/>
              <w:jc w:val="cente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p>
        </w:tc>
        <w:tc>
          <w:tcPr>
            <w:tcW w:w="1057" w:type="dxa"/>
            <w:vMerge w:val="continue"/>
            <w:noWrap w:val="0"/>
            <w:vAlign w:val="center"/>
          </w:tcPr>
          <w:p>
            <w:pPr>
              <w:spacing w:line="240" w:lineRule="auto"/>
              <w:jc w:val="cente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p>
        </w:tc>
        <w:tc>
          <w:tcPr>
            <w:tcW w:w="3588" w:type="dxa"/>
            <w:vMerge w:val="continue"/>
            <w:noWrap w:val="0"/>
            <w:vAlign w:val="center"/>
          </w:tcPr>
          <w:p>
            <w:pPr>
              <w:spacing w:line="240" w:lineRule="auto"/>
              <w:jc w:val="cente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p>
        </w:tc>
        <w:tc>
          <w:tcPr>
            <w:tcW w:w="943" w:type="dxa"/>
            <w:noWrap w:val="0"/>
            <w:vAlign w:val="center"/>
          </w:tcPr>
          <w:p>
            <w:pPr>
              <w:spacing w:line="240" w:lineRule="auto"/>
              <w:jc w:val="cente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指标</w:t>
            </w:r>
          </w:p>
          <w:p>
            <w:pPr>
              <w:spacing w:line="240" w:lineRule="auto"/>
              <w:jc w:val="center"/>
              <w:rPr>
                <w:rFonts w:hint="eastAsia"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总额</w:t>
            </w:r>
          </w:p>
        </w:tc>
        <w:tc>
          <w:tcPr>
            <w:tcW w:w="1003" w:type="dxa"/>
            <w:noWrap w:val="0"/>
            <w:vAlign w:val="center"/>
          </w:tcPr>
          <w:p>
            <w:pPr>
              <w:spacing w:line="240" w:lineRule="auto"/>
              <w:jc w:val="cente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其中：区级资金</w:t>
            </w:r>
          </w:p>
        </w:tc>
        <w:tc>
          <w:tcPr>
            <w:tcW w:w="899" w:type="dxa"/>
            <w:noWrap w:val="0"/>
            <w:vAlign w:val="center"/>
          </w:tcPr>
          <w:p>
            <w:pPr>
              <w:spacing w:line="240" w:lineRule="auto"/>
              <w:jc w:val="center"/>
              <w:rPr>
                <w:rFonts w:hint="eastAsia"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支出总额</w:t>
            </w:r>
          </w:p>
        </w:tc>
        <w:tc>
          <w:tcPr>
            <w:tcW w:w="952" w:type="dxa"/>
            <w:noWrap w:val="0"/>
            <w:vAlign w:val="center"/>
          </w:tcPr>
          <w:p>
            <w:pPr>
              <w:spacing w:line="240" w:lineRule="auto"/>
              <w:jc w:val="center"/>
              <w:rPr>
                <w:rFonts w:hint="eastAsia"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其中：区级资金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1135" w:type="dxa"/>
            <w:noWrap w:val="0"/>
            <w:vAlign w:val="center"/>
          </w:tcPr>
          <w:p>
            <w:pPr>
              <w:spacing w:line="240" w:lineRule="auto"/>
              <w:jc w:val="cente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城市管理</w:t>
            </w:r>
          </w:p>
        </w:tc>
        <w:tc>
          <w:tcPr>
            <w:tcW w:w="1057" w:type="dxa"/>
            <w:noWrap w:val="0"/>
            <w:vAlign w:val="center"/>
          </w:tcPr>
          <w:p>
            <w:pPr>
              <w:spacing w:line="240" w:lineRule="auto"/>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经常性</w:t>
            </w:r>
          </w:p>
        </w:tc>
        <w:tc>
          <w:tcPr>
            <w:tcW w:w="3588" w:type="dxa"/>
            <w:noWrap w:val="0"/>
            <w:vAlign w:val="center"/>
          </w:tcPr>
          <w:p>
            <w:pPr>
              <w:spacing w:line="240" w:lineRule="auto"/>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eastAsia="仿宋_GB2312"/>
                <w:color w:val="000000" w:themeColor="text1"/>
                <w:sz w:val="24"/>
                <w:szCs w:val="22"/>
                <w:lang w:val="en-US" w:eastAsia="zh-CN"/>
                <w14:textFill>
                  <w14:solidFill>
                    <w14:schemeClr w14:val="tx1"/>
                  </w14:solidFill>
                </w14:textFill>
              </w:rPr>
              <w:t>主要用于市容环境卫生、城管中队经费、环保工作、日常整治、拆控违经费、防汛防旱、爱卫、餐厨垃圾整治、数字化工作、提质提档、招牌整治、河长制工作、文明创建、安全生产、食品安全、垃圾分类等</w:t>
            </w:r>
            <w:r>
              <w:rPr>
                <w:rFonts w:hint="eastAsia"/>
                <w:color w:val="000000" w:themeColor="text1"/>
                <w:sz w:val="24"/>
                <w:szCs w:val="22"/>
                <w:lang w:val="en-US" w:eastAsia="zh-CN"/>
                <w14:textFill>
                  <w14:solidFill>
                    <w14:schemeClr w14:val="tx1"/>
                  </w14:solidFill>
                </w14:textFill>
              </w:rPr>
              <w:t>支出。</w:t>
            </w:r>
          </w:p>
        </w:tc>
        <w:tc>
          <w:tcPr>
            <w:tcW w:w="943" w:type="dxa"/>
            <w:noWrap w:val="0"/>
            <w:vAlign w:val="center"/>
          </w:tcPr>
          <w:p>
            <w:pPr>
              <w:spacing w:line="240" w:lineRule="auto"/>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857.5</w:t>
            </w:r>
          </w:p>
        </w:tc>
        <w:tc>
          <w:tcPr>
            <w:tcW w:w="1003" w:type="dxa"/>
            <w:noWrap w:val="0"/>
            <w:vAlign w:val="center"/>
          </w:tcPr>
          <w:p>
            <w:pPr>
              <w:spacing w:line="240" w:lineRule="auto"/>
              <w:jc w:val="both"/>
              <w:rPr>
                <w:rFonts w:hint="eastAsia"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857.5</w:t>
            </w:r>
          </w:p>
        </w:tc>
        <w:tc>
          <w:tcPr>
            <w:tcW w:w="899" w:type="dxa"/>
            <w:noWrap w:val="0"/>
            <w:vAlign w:val="center"/>
          </w:tcPr>
          <w:p>
            <w:pPr>
              <w:spacing w:line="240" w:lineRule="auto"/>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763.98</w:t>
            </w:r>
          </w:p>
        </w:tc>
        <w:tc>
          <w:tcPr>
            <w:tcW w:w="952" w:type="dxa"/>
            <w:noWrap w:val="0"/>
            <w:vAlign w:val="center"/>
          </w:tcPr>
          <w:p>
            <w:pPr>
              <w:spacing w:line="240" w:lineRule="auto"/>
              <w:jc w:val="both"/>
              <w:rPr>
                <w:rFonts w:hint="eastAsia"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763.98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35" w:type="dxa"/>
            <w:noWrap w:val="0"/>
            <w:vAlign w:val="center"/>
          </w:tcPr>
          <w:p>
            <w:pPr>
              <w:spacing w:line="240" w:lineRule="auto"/>
              <w:jc w:val="cente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公共服务</w:t>
            </w:r>
          </w:p>
        </w:tc>
        <w:tc>
          <w:tcPr>
            <w:tcW w:w="1057" w:type="dxa"/>
            <w:noWrap w:val="0"/>
            <w:vAlign w:val="center"/>
          </w:tcPr>
          <w:p>
            <w:pPr>
              <w:spacing w:line="240" w:lineRule="auto"/>
              <w:jc w:val="both"/>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经常性</w:t>
            </w:r>
          </w:p>
        </w:tc>
        <w:tc>
          <w:tcPr>
            <w:tcW w:w="3588" w:type="dxa"/>
            <w:noWrap w:val="0"/>
            <w:vAlign w:val="center"/>
          </w:tcPr>
          <w:p>
            <w:pPr>
              <w:spacing w:line="240" w:lineRule="auto"/>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eastAsia="仿宋_GB2312"/>
                <w:color w:val="000000" w:themeColor="text1"/>
                <w:sz w:val="24"/>
                <w:szCs w:val="22"/>
                <w:lang w:val="en-US" w:eastAsia="zh-CN"/>
                <w14:textFill>
                  <w14:solidFill>
                    <w14:schemeClr w14:val="tx1"/>
                  </w14:solidFill>
                </w14:textFill>
              </w:rPr>
              <w:t>主要用于社会救助、居家养老服务、老龄工作、救灾救济、拥军优属、劳务就业、惠民项目、社会保障、社区社会化组织管理、卫生、计生等</w:t>
            </w:r>
            <w:r>
              <w:rPr>
                <w:rFonts w:hint="eastAsia"/>
                <w:color w:val="000000" w:themeColor="text1"/>
                <w:sz w:val="24"/>
                <w:szCs w:val="22"/>
                <w:lang w:val="en-US" w:eastAsia="zh-CN"/>
                <w14:textFill>
                  <w14:solidFill>
                    <w14:schemeClr w14:val="tx1"/>
                  </w14:solidFill>
                </w14:textFill>
              </w:rPr>
              <w:t>支出。</w:t>
            </w:r>
          </w:p>
        </w:tc>
        <w:tc>
          <w:tcPr>
            <w:tcW w:w="943" w:type="dxa"/>
            <w:noWrap w:val="0"/>
            <w:vAlign w:val="center"/>
          </w:tcPr>
          <w:p>
            <w:pPr>
              <w:spacing w:line="240" w:lineRule="auto"/>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1681.6</w:t>
            </w:r>
          </w:p>
        </w:tc>
        <w:tc>
          <w:tcPr>
            <w:tcW w:w="1003" w:type="dxa"/>
            <w:noWrap w:val="0"/>
            <w:vAlign w:val="center"/>
          </w:tcPr>
          <w:p>
            <w:pPr>
              <w:spacing w:line="240" w:lineRule="auto"/>
              <w:jc w:val="both"/>
              <w:rPr>
                <w:rFonts w:hint="eastAsia"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1681.6</w:t>
            </w:r>
          </w:p>
        </w:tc>
        <w:tc>
          <w:tcPr>
            <w:tcW w:w="899" w:type="dxa"/>
            <w:noWrap w:val="0"/>
            <w:vAlign w:val="center"/>
          </w:tcPr>
          <w:p>
            <w:pPr>
              <w:spacing w:line="240" w:lineRule="auto"/>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2086.26</w:t>
            </w:r>
          </w:p>
        </w:tc>
        <w:tc>
          <w:tcPr>
            <w:tcW w:w="952" w:type="dxa"/>
            <w:noWrap w:val="0"/>
            <w:vAlign w:val="center"/>
          </w:tcPr>
          <w:p>
            <w:pPr>
              <w:spacing w:line="240" w:lineRule="auto"/>
              <w:jc w:val="both"/>
              <w:rPr>
                <w:rFonts w:hint="eastAsia"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2086.26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5780" w:type="dxa"/>
            <w:gridSpan w:val="3"/>
            <w:noWrap w:val="0"/>
            <w:vAlign w:val="center"/>
          </w:tcPr>
          <w:p>
            <w:pPr>
              <w:spacing w:line="240" w:lineRule="auto"/>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ab/>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合计</w:t>
            </w:r>
            <w:r>
              <w:rPr>
                <w:rFonts w:hint="eastAsia" w:cs="Times New Roman"/>
                <w:color w:val="000000" w:themeColor="text1"/>
                <w:sz w:val="21"/>
                <w:szCs w:val="21"/>
                <w:vertAlign w:val="baseline"/>
                <w:lang w:val="en-US" w:eastAsia="zh-CN"/>
                <w14:textFill>
                  <w14:solidFill>
                    <w14:schemeClr w14:val="tx1"/>
                  </w14:solidFill>
                </w14:textFill>
              </w:rPr>
              <w:t>：</w:t>
            </w:r>
          </w:p>
        </w:tc>
        <w:tc>
          <w:tcPr>
            <w:tcW w:w="943" w:type="dxa"/>
            <w:noWrap w:val="0"/>
            <w:vAlign w:val="center"/>
          </w:tcPr>
          <w:p>
            <w:pPr>
              <w:spacing w:line="240" w:lineRule="auto"/>
              <w:jc w:val="both"/>
              <w:rPr>
                <w:rFonts w:hint="default"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kern w:val="2"/>
                <w:sz w:val="21"/>
                <w:szCs w:val="21"/>
                <w:vertAlign w:val="baseline"/>
                <w:lang w:val="en-US" w:eastAsia="zh-CN" w:bidi="ar-SA"/>
                <w14:textFill>
                  <w14:solidFill>
                    <w14:schemeClr w14:val="tx1"/>
                  </w14:solidFill>
                </w14:textFill>
              </w:rPr>
              <w:t>2539.1</w:t>
            </w:r>
          </w:p>
        </w:tc>
        <w:tc>
          <w:tcPr>
            <w:tcW w:w="1003" w:type="dxa"/>
            <w:noWrap w:val="0"/>
            <w:vAlign w:val="center"/>
          </w:tcPr>
          <w:p>
            <w:pPr>
              <w:spacing w:line="240" w:lineRule="auto"/>
              <w:jc w:val="both"/>
              <w:rPr>
                <w:rFonts w:hint="default"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2539.1</w:t>
            </w:r>
          </w:p>
        </w:tc>
        <w:tc>
          <w:tcPr>
            <w:tcW w:w="899" w:type="dxa"/>
            <w:noWrap w:val="0"/>
            <w:vAlign w:val="center"/>
          </w:tcPr>
          <w:p>
            <w:pPr>
              <w:spacing w:line="240" w:lineRule="auto"/>
              <w:jc w:val="both"/>
              <w:rPr>
                <w:rFonts w:hint="default"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2850.24</w:t>
            </w:r>
          </w:p>
        </w:tc>
        <w:tc>
          <w:tcPr>
            <w:tcW w:w="952" w:type="dxa"/>
            <w:noWrap w:val="0"/>
            <w:vAlign w:val="center"/>
          </w:tcPr>
          <w:p>
            <w:pPr>
              <w:spacing w:line="240" w:lineRule="auto"/>
              <w:jc w:val="both"/>
              <w:rPr>
                <w:rFonts w:hint="default" w:ascii="Times New Roman" w:hAnsi="Times New Roman" w:eastAsia="仿宋_GB2312" w:cs="Times New Roman"/>
                <w:color w:val="000000" w:themeColor="text1"/>
                <w:kern w:val="2"/>
                <w:sz w:val="21"/>
                <w:szCs w:val="21"/>
                <w:vertAlign w:val="baseline"/>
                <w:lang w:val="en-US" w:eastAsia="zh-CN" w:bidi="ar-SA"/>
                <w14:textFill>
                  <w14:solidFill>
                    <w14:schemeClr w14:val="tx1"/>
                  </w14:solidFill>
                </w14:textFill>
              </w:rPr>
            </w:pPr>
            <w:r>
              <w:rPr>
                <w:rFonts w:hint="eastAsia" w:cs="Times New Roman"/>
                <w:color w:val="000000" w:themeColor="text1"/>
                <w:sz w:val="21"/>
                <w:szCs w:val="21"/>
                <w:vertAlign w:val="baseline"/>
                <w:lang w:val="en-US" w:eastAsia="zh-CN"/>
                <w14:textFill>
                  <w14:solidFill>
                    <w14:schemeClr w14:val="tx1"/>
                  </w14:solidFill>
                </w14:textFill>
              </w:rPr>
              <w:t>2850.24</w:t>
            </w:r>
          </w:p>
        </w:tc>
      </w:tr>
    </w:tbl>
    <w:p>
      <w:pPr>
        <w:numPr>
          <w:ilvl w:val="0"/>
          <w:numId w:val="1"/>
        </w:numPr>
        <w:spacing w:line="560" w:lineRule="exact"/>
        <w:ind w:firstLine="640" w:firstLineChars="200"/>
        <w:rPr>
          <w:rFonts w:hint="eastAsia" w:ascii="Times New Roman" w:hAnsi="Times New Roman" w:cs="Times New Roman"/>
          <w:color w:val="000000" w:themeColor="text1"/>
          <w:sz w:val="32"/>
          <w:szCs w:val="32"/>
          <w:lang w:val="en-US" w:eastAsia="zh-CN"/>
          <w14:textFill>
            <w14:solidFill>
              <w14:schemeClr w14:val="tx1"/>
            </w14:solidFill>
          </w14:textFill>
        </w:rPr>
      </w:pPr>
      <w:r>
        <w:rPr>
          <w:rFonts w:hint="eastAsia" w:eastAsia="黑体"/>
          <w:color w:val="000000" w:themeColor="text1"/>
          <w:sz w:val="32"/>
          <w:szCs w:val="32"/>
          <w:lang w:eastAsia="zh-CN"/>
          <w14:textFill>
            <w14:solidFill>
              <w14:schemeClr w14:val="tx1"/>
            </w14:solidFill>
          </w14:textFill>
        </w:rPr>
        <w:t>重点</w:t>
      </w:r>
      <w:r>
        <w:rPr>
          <w:rFonts w:hint="eastAsia" w:eastAsia="黑体"/>
          <w:color w:val="000000" w:themeColor="text1"/>
          <w:sz w:val="32"/>
          <w:szCs w:val="32"/>
          <w14:textFill>
            <w14:solidFill>
              <w14:schemeClr w14:val="tx1"/>
            </w14:solidFill>
          </w14:textFill>
        </w:rPr>
        <w:t>项目绩效</w:t>
      </w:r>
      <w:r>
        <w:rPr>
          <w:rFonts w:hint="eastAsia" w:eastAsia="黑体"/>
          <w:color w:val="000000" w:themeColor="text1"/>
          <w:sz w:val="32"/>
          <w:szCs w:val="32"/>
          <w:lang w:eastAsia="zh-CN"/>
          <w14:textFill>
            <w14:solidFill>
              <w14:schemeClr w14:val="tx1"/>
            </w14:solidFill>
          </w14:textFill>
        </w:rPr>
        <w:t>完成</w:t>
      </w:r>
      <w:r>
        <w:rPr>
          <w:rFonts w:hint="eastAsia" w:eastAsia="黑体"/>
          <w:color w:val="000000" w:themeColor="text1"/>
          <w:sz w:val="32"/>
          <w:szCs w:val="32"/>
          <w14:textFill>
            <w14:solidFill>
              <w14:schemeClr w14:val="tx1"/>
            </w14:solidFill>
          </w14:textFill>
        </w:rPr>
        <w:t>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eastAsia" w:cs="Times New Roman"/>
          <w:color w:val="000000" w:themeColor="text1"/>
          <w:sz w:val="32"/>
          <w:szCs w:val="32"/>
          <w:lang w:val="en-US" w:eastAsia="zh-CN"/>
          <w14:textFill>
            <w14:solidFill>
              <w14:schemeClr w14:val="tx1"/>
            </w14:solidFill>
          </w14:textFill>
        </w:rPr>
        <w:t>1、城市管理项目主要绩效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color w:val="000000" w:themeColor="text1"/>
          <w:sz w:val="32"/>
          <w:szCs w:val="32"/>
          <w:lang w:val="en-US" w:eastAsia="zh-CN"/>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城市管理方面，强化社会治理，有效提升街区品质大跃升。细化生活垃圾分类规范落实，辖区8个社区共设置183个四分类点位，均配备桶边督导员，每个社区设置2个厨余垃圾集中收运点，1个有害垃圾集中暂存点；完成154家门店油烟净化设备安装和3家单位的5台锅炉改造；纠治</w:t>
      </w:r>
      <w:r>
        <w:rPr>
          <w:rFonts w:hint="eastAsia" w:cs="Times New Roman"/>
          <w:color w:val="000000" w:themeColor="text1"/>
          <w:sz w:val="32"/>
          <w:szCs w:val="32"/>
          <w:lang w:val="en-US" w:eastAsia="zh-CN"/>
          <w14:textFill>
            <w14:solidFill>
              <w14:schemeClr w14:val="tx1"/>
            </w14:solidFill>
          </w14:textFill>
        </w:rPr>
        <w:t>噪声污染</w:t>
      </w:r>
      <w:r>
        <w:rPr>
          <w:rFonts w:hint="eastAsia" w:ascii="Times New Roman" w:hAnsi="Times New Roman" w:cs="Times New Roman"/>
          <w:color w:val="000000" w:themeColor="text1"/>
          <w:sz w:val="32"/>
          <w:szCs w:val="32"/>
          <w:lang w:val="en-US" w:eastAsia="zh-CN"/>
          <w14:textFill>
            <w14:solidFill>
              <w14:schemeClr w14:val="tx1"/>
            </w14:solidFill>
          </w14:textFill>
        </w:rPr>
        <w:t>、露天烧烤、渣土污染、违规占道生活垃圾分类等各类违章行为和案件4500余起，开展食品安全宣传周活动，宣传周受教居民达5000多人；落实全面普查，突出抓好校园及周边、食品生产企业、农贸市场、餐饮服务单位和非法生产小作坊等5个重点监管领域。</w:t>
      </w:r>
      <w:r>
        <w:rPr>
          <w:rFonts w:hint="default" w:ascii="Times New Roman" w:hAnsi="Times New Roman" w:cs="Times New Roman"/>
          <w:color w:val="000000" w:themeColor="text1"/>
          <w:sz w:val="32"/>
          <w:szCs w:val="32"/>
          <w:lang w:val="en-US" w:eastAsia="zh-CN"/>
          <w14:textFill>
            <w14:solidFill>
              <w14:schemeClr w14:val="tx1"/>
            </w14:solidFill>
          </w14:textFill>
        </w:rPr>
        <w:t>针对街道老旧小区提质改造今年重点做好邮电宿舍、绸厂宿舍12、13、14栋等2个项目8栋居民楼的提质改造，计划11月底前完成，上半年对接人居环境局对东风路社区沙湖桥农贸市场周边及汽摩宿舍进行微小项目改造，增加停车位32个大大缓解了沁园巷周边住户停车难的问题。共纠治</w:t>
      </w:r>
      <w:r>
        <w:rPr>
          <w:rFonts w:hint="eastAsia" w:cs="Times New Roman"/>
          <w:color w:val="000000" w:themeColor="text1"/>
          <w:sz w:val="32"/>
          <w:szCs w:val="32"/>
          <w:lang w:val="en-US" w:eastAsia="zh-CN"/>
          <w14:textFill>
            <w14:solidFill>
              <w14:schemeClr w14:val="tx1"/>
            </w14:solidFill>
          </w14:textFill>
        </w:rPr>
        <w:t>噪声污染</w:t>
      </w:r>
      <w:r>
        <w:rPr>
          <w:rFonts w:hint="default" w:ascii="Times New Roman" w:hAnsi="Times New Roman" w:cs="Times New Roman"/>
          <w:color w:val="000000" w:themeColor="text1"/>
          <w:sz w:val="32"/>
          <w:szCs w:val="32"/>
          <w:lang w:val="en-US" w:eastAsia="zh-CN"/>
          <w14:textFill>
            <w14:solidFill>
              <w14:schemeClr w14:val="tx1"/>
            </w14:solidFill>
          </w14:textFill>
        </w:rPr>
        <w:t>、露天烧烤、渣土污染、违规占道生活垃圾分类等各类违章行为和案件4500余起，今年办理数字化案卷共4869条，应结案问题数3918条，按时处置率为99.9%；办理12345市民热线5210条，办结率100%，市民满意率98.3%。对照蓝天保卫战标准要求，结合辖区形势，主要抓好“点长”</w:t>
      </w:r>
      <w:r>
        <w:rPr>
          <w:rFonts w:hint="default" w:ascii="Times New Roman" w:hAnsi="Times New Roman" w:cs="Times New Roman"/>
          <w:sz w:val="32"/>
          <w:szCs w:val="32"/>
          <w:lang w:val="en-US" w:eastAsia="zh-CN"/>
        </w:rPr>
        <w:t>制落实，推进锅炉“减排”科学治污，完成154家门店油烟净化设备安装和3家单位的5台锅炉改造，每日对辖区露天焚烧、烧烤摊贩、流动夜宵摊进行巡查管控，街道监控点空气优良天数比例达到80%，污染物浓度同比改善，整治覆盖黄土裸露问题共计6000m²。细化生活垃圾分类规范落实，辖区8个社区共设置183个四分类点位，均配备桶边督导员，每个社区设置2个厨余垃圾集中收运点，1个有害垃圾集中暂存点，共计转运湿垃圾143.8吨，完成年度目标的45.40%。6月份投资46万元，更换四分类脚踏式垃圾桶1059个，并按国标制作生活垃圾分类的相关标识、标牌。针对我街道老旧城区各种矛盾纠纷隐患多的特点，创新发展“枫桥经验”，指导王家垅社区“庭院治理”、东风路社区智能化综治中心平台、德雅路社区协会自治等多种模式提升社会治安综合治理水平，发展成为“小事不出庭院，大事不出社区，投诉少治安好”的新格局</w:t>
      </w:r>
      <w:r>
        <w:rPr>
          <w:rFonts w:hint="eastAsia" w:ascii="Times New Roman" w:hAnsi="Times New Roman" w:cs="Times New Roman"/>
          <w:sz w:val="32"/>
          <w:szCs w:val="32"/>
          <w:lang w:val="en-US" w:eastAsia="zh-CN"/>
        </w:rPr>
        <w:t>。</w:t>
      </w:r>
      <w:r>
        <w:rPr>
          <w:rFonts w:hint="eastAsia" w:ascii="Times New Roman" w:hAnsi="Times New Roman" w:cs="Times New Roman"/>
          <w:color w:val="000000" w:themeColor="text1"/>
          <w:sz w:val="32"/>
          <w:szCs w:val="32"/>
          <w:lang w:val="en-US" w:eastAsia="zh-CN"/>
          <w14:textFill>
            <w14:solidFill>
              <w14:schemeClr w14:val="tx1"/>
            </w14:solidFill>
          </w14:textFill>
        </w:rPr>
        <w:t>城管工作按照“重心下移、物业承包、责任上肩、监管分离”的工作思路，坚持建设与管理并重，整治与维护兼顾的原则，抓好作业清扫、摊担治理、店外经营、数字城管、拆违控违等工作，有力推动清扫作业精细化、城市监管信息化、市容整治常态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eastAsia" w:cs="Times New Roman"/>
          <w:color w:val="000000" w:themeColor="text1"/>
          <w:sz w:val="32"/>
          <w:szCs w:val="32"/>
          <w:lang w:val="en-US" w:eastAsia="zh-CN"/>
          <w14:textFill>
            <w14:solidFill>
              <w14:schemeClr w14:val="tx1"/>
            </w14:solidFill>
          </w14:textFill>
        </w:rPr>
        <w:t>2、公共服务项目主要绩效：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color w:val="000000" w:themeColor="text1"/>
          <w:sz w:val="32"/>
          <w:szCs w:val="32"/>
          <w:lang w:val="en-US" w:eastAsia="zh-CN"/>
          <w14:textFill>
            <w14:solidFill>
              <w14:schemeClr w14:val="tx1"/>
            </w14:solidFill>
          </w14:textFill>
        </w:rPr>
      </w:pPr>
      <w:r>
        <w:rPr>
          <w:rFonts w:hint="eastAsia" w:ascii="Times New Roman" w:hAnsi="Times New Roman" w:cs="Times New Roman"/>
          <w:color w:val="000000" w:themeColor="text1"/>
          <w:sz w:val="32"/>
          <w:szCs w:val="32"/>
          <w:lang w:val="en-US" w:eastAsia="zh-CN"/>
          <w14:textFill>
            <w14:solidFill>
              <w14:schemeClr w14:val="tx1"/>
            </w14:solidFill>
          </w14:textFill>
        </w:rPr>
        <w:t>公共服务方面，强化提质改造，有效推动民生实事惠人民。街道将坚持“发展依靠人民，发展为了人民”的指导思想，着力打造惠民工程、落实民生实事，将经济社会的发展成果和居民群众的幸福指数有机结合，创建和谐幸福家园。推进“一圈两场三道”工程的进度，打造宜居环境，切实构建便民惠民的生活圈。我街将全力推进德雅路农贸市场的提质提档，同时，浏河社区邮电宿舍提质改造项目、王家垅社区的王家垅16栋排危项目、市政局白改黑项目、汽电+兵器大院企业宿舍共12栋改造项目、铁路宿舍共13栋及平房改造项目等都将是2020年我街道打造宜居环境的重要举措。打造便民惠民服务窗口，结合“互联网+政务服务”服务事项，坚持“群众少跑腿、信息多流转”，完善工作制度、明确岗位责任、配强人员力量、配齐办公设备、统一窗口设置、提升服务质效，为办事群众提供更加便捷、高效、贴心的服务。</w:t>
      </w:r>
    </w:p>
    <w:p>
      <w:pPr>
        <w:spacing w:line="560" w:lineRule="exact"/>
        <w:ind w:firstLine="640" w:firstLineChars="200"/>
        <w:rPr>
          <w:rFonts w:hint="eastAsia" w:ascii="Times New Roman" w:hAnsi="Times New Roman" w:eastAsia="黑体" w:cs="Times New Roman"/>
          <w:sz w:val="32"/>
          <w:szCs w:val="32"/>
          <w:lang w:val="en-US" w:eastAsia="zh-CN"/>
        </w:rPr>
      </w:pPr>
      <w:r>
        <w:rPr>
          <w:rFonts w:hint="eastAsia" w:ascii="仿宋" w:eastAsia="仿宋" w:cs="仿宋"/>
          <w:sz w:val="32"/>
          <w:szCs w:val="32"/>
          <w:lang w:eastAsia="zh-CN"/>
        </w:rPr>
        <w:t>本单位重点项目均完成年初绩效目标，实现了依法有效地使用财政资金，提高财政资金使用效率，在完成单位目标任务中合理分配人、财、物，使之达到较高的工作效率和水平，提高服务质量，</w:t>
      </w:r>
      <w:r>
        <w:rPr>
          <w:rFonts w:hint="eastAsia"/>
          <w:sz w:val="32"/>
          <w:szCs w:val="32"/>
        </w:rPr>
        <w:t>落实区委、区政府各项指示和决定</w:t>
      </w:r>
      <w:r>
        <w:rPr>
          <w:rFonts w:hint="eastAsia" w:ascii="仿宋" w:eastAsia="仿宋" w:cs="仿宋"/>
          <w:sz w:val="32"/>
          <w:szCs w:val="32"/>
          <w:lang w:eastAsia="zh-CN"/>
        </w:rPr>
        <w:t>，完成年初区委、区政府下达的各项指标。抓好辖区的社会主义精神文明建设，构建</w:t>
      </w:r>
      <w:bookmarkStart w:id="0" w:name="_GoBack"/>
      <w:bookmarkEnd w:id="0"/>
      <w:r>
        <w:rPr>
          <w:rFonts w:hint="eastAsia" w:ascii="仿宋" w:eastAsia="仿宋" w:cs="仿宋"/>
          <w:sz w:val="32"/>
          <w:szCs w:val="32"/>
          <w:lang w:eastAsia="zh-CN"/>
        </w:rPr>
        <w:t>社会主义和谐社会，提升社会公众或服务对象满意度， 让群众舒心、放心、安心。总体符合年度预算目标，社会效益显著，服务对象满意度较高，有效推进了绩效目标的实施。</w:t>
      </w:r>
    </w:p>
    <w:p>
      <w:pPr>
        <w:spacing w:line="560" w:lineRule="exact"/>
        <w:ind w:firstLine="640" w:firstLineChars="200"/>
        <w:rPr>
          <w:rFonts w:hint="eastAsia" w:eastAsia="黑体"/>
          <w:sz w:val="32"/>
          <w:szCs w:val="32"/>
          <w:lang w:eastAsia="zh-CN"/>
        </w:rPr>
      </w:pPr>
      <w:r>
        <w:rPr>
          <w:rFonts w:hint="eastAsia" w:eastAsia="黑体"/>
          <w:sz w:val="32"/>
          <w:szCs w:val="32"/>
          <w:lang w:eastAsia="zh-CN"/>
        </w:rPr>
        <w:t>三</w:t>
      </w:r>
      <w:r>
        <w:rPr>
          <w:rFonts w:eastAsia="黑体"/>
          <w:sz w:val="32"/>
          <w:szCs w:val="32"/>
        </w:rPr>
        <w:t>、存在问题</w:t>
      </w:r>
      <w:r>
        <w:rPr>
          <w:rFonts w:hint="eastAsia" w:eastAsia="黑体"/>
          <w:sz w:val="32"/>
          <w:szCs w:val="32"/>
          <w:lang w:eastAsia="zh-CN"/>
        </w:rPr>
        <w:t>和改进措施</w:t>
      </w:r>
    </w:p>
    <w:p>
      <w:pPr>
        <w:spacing w:line="560" w:lineRule="exact"/>
        <w:ind w:firstLine="640" w:firstLineChars="200"/>
        <w:rPr>
          <w:rFonts w:hint="eastAsia" w:ascii="Times New Roman" w:hAnsi="Times New Roman" w:cs="Times New Roman"/>
          <w:sz w:val="32"/>
          <w:szCs w:val="32"/>
          <w:lang w:val="en-US" w:eastAsia="zh-CN"/>
        </w:rPr>
      </w:pPr>
      <w:r>
        <w:rPr>
          <w:rFonts w:hint="eastAsia" w:ascii="仿宋" w:eastAsia="仿宋" w:cs="仿宋"/>
          <w:sz w:val="32"/>
          <w:szCs w:val="32"/>
          <w:lang w:val="en-US" w:eastAsia="zh-CN"/>
        </w:rPr>
        <w:t>（一）存在问题：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资金分配和安排的科学性有待加强；资金使用进度应定期考评，项目管理水平需进一步提高。</w:t>
      </w:r>
    </w:p>
    <w:p>
      <w:pPr>
        <w:spacing w:line="560" w:lineRule="exact"/>
        <w:ind w:firstLine="640" w:firstLineChars="200"/>
        <w:rPr>
          <w:rFonts w:hint="default"/>
          <w:lang w:val="en-US" w:eastAsia="zh-CN"/>
        </w:rPr>
      </w:pPr>
      <w:r>
        <w:rPr>
          <w:rFonts w:hint="eastAsia" w:ascii="仿宋" w:eastAsia="仿宋" w:cs="仿宋"/>
          <w:sz w:val="32"/>
          <w:szCs w:val="32"/>
          <w:lang w:val="en-US" w:eastAsia="zh-CN"/>
        </w:rPr>
        <w:t>（二）改进措施：</w:t>
      </w:r>
    </w:p>
    <w:p>
      <w:pPr>
        <w:pStyle w:val="2"/>
        <w:keepNext w:val="0"/>
        <w:keepLines w:val="0"/>
        <w:pageBreakBefore w:val="0"/>
        <w:widowControl w:val="0"/>
        <w:kinsoku/>
        <w:wordWrap/>
        <w:overflowPunct/>
        <w:topLinePunct w:val="0"/>
        <w:autoSpaceDE/>
        <w:autoSpaceDN/>
        <w:bidi w:val="0"/>
        <w:adjustRightInd/>
        <w:snapToGrid/>
        <w:ind w:left="113"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1、加强预算精细化管理</w:t>
      </w:r>
    </w:p>
    <w:p>
      <w:pPr>
        <w:pStyle w:val="2"/>
        <w:keepNext w:val="0"/>
        <w:keepLines w:val="0"/>
        <w:pageBreakBefore w:val="0"/>
        <w:widowControl w:val="0"/>
        <w:kinsoku/>
        <w:wordWrap/>
        <w:overflowPunct/>
        <w:topLinePunct w:val="0"/>
        <w:autoSpaceDE/>
        <w:autoSpaceDN/>
        <w:bidi w:val="0"/>
        <w:adjustRightInd/>
        <w:snapToGrid/>
        <w:ind w:left="113"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2、严格执行费用报销相关制度</w:t>
      </w:r>
    </w:p>
    <w:p>
      <w:pPr>
        <w:pStyle w:val="2"/>
        <w:keepNext w:val="0"/>
        <w:keepLines w:val="0"/>
        <w:pageBreakBefore w:val="0"/>
        <w:widowControl w:val="0"/>
        <w:kinsoku/>
        <w:wordWrap/>
        <w:overflowPunct/>
        <w:topLinePunct w:val="0"/>
        <w:autoSpaceDE/>
        <w:autoSpaceDN/>
        <w:bidi w:val="0"/>
        <w:adjustRightInd/>
        <w:snapToGrid/>
        <w:ind w:left="113"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3、政府采购按相关规定严格执行</w:t>
      </w:r>
    </w:p>
    <w:p>
      <w:pPr>
        <w:pStyle w:val="2"/>
        <w:keepNext w:val="0"/>
        <w:keepLines w:val="0"/>
        <w:pageBreakBefore w:val="0"/>
        <w:widowControl w:val="0"/>
        <w:kinsoku/>
        <w:wordWrap/>
        <w:overflowPunct/>
        <w:topLinePunct w:val="0"/>
        <w:autoSpaceDE/>
        <w:autoSpaceDN/>
        <w:bidi w:val="0"/>
        <w:adjustRightInd/>
        <w:snapToGrid/>
        <w:ind w:left="113" w:firstLine="640" w:firstLineChars="200"/>
        <w:textAlignment w:val="auto"/>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4、加强内控管理，规范会计核算，准确披露会计信息</w:t>
      </w:r>
    </w:p>
    <w:p>
      <w:pPr>
        <w:pStyle w:val="2"/>
        <w:keepNext w:val="0"/>
        <w:keepLines w:val="0"/>
        <w:pageBreakBefore w:val="0"/>
        <w:widowControl w:val="0"/>
        <w:kinsoku/>
        <w:wordWrap/>
        <w:overflowPunct/>
        <w:topLinePunct w:val="0"/>
        <w:autoSpaceDE/>
        <w:autoSpaceDN/>
        <w:bidi w:val="0"/>
        <w:adjustRightInd/>
        <w:snapToGrid/>
        <w:ind w:left="113" w:firstLine="640" w:firstLineChars="200"/>
        <w:textAlignment w:val="auto"/>
        <w:rPr>
          <w:rFonts w:hint="default" w:eastAsia="宋体"/>
          <w:lang w:val="en-US" w:eastAsia="zh-CN"/>
        </w:rPr>
      </w:pPr>
      <w:r>
        <w:rPr>
          <w:rFonts w:hint="eastAsia" w:ascii="Times New Roman" w:hAnsi="Times New Roman" w:eastAsia="仿宋_GB2312" w:cs="Times New Roman"/>
          <w:color w:val="auto"/>
          <w:kern w:val="2"/>
          <w:sz w:val="32"/>
          <w:szCs w:val="32"/>
          <w:lang w:val="en-US" w:eastAsia="zh-CN" w:bidi="ar-SA"/>
        </w:rPr>
        <w:t>5、加强合同管理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31E7E0"/>
    <w:multiLevelType w:val="singleLevel"/>
    <w:tmpl w:val="3B31E7E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NWExNGE0MmQ0YjUwOTZhNTVhMjQ2ZjcwMzgwMGEifQ=="/>
  </w:docVars>
  <w:rsids>
    <w:rsidRoot w:val="237B2EF1"/>
    <w:rsid w:val="006D5CCB"/>
    <w:rsid w:val="06D44FEC"/>
    <w:rsid w:val="237B2EF1"/>
    <w:rsid w:val="42B24C6E"/>
    <w:rsid w:val="59F36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ind w:left="111"/>
    </w:pPr>
    <w:rPr>
      <w:rFonts w:ascii="Calibri" w:hAnsi="Calibri" w:eastAsia="Calibri" w:cs="Calibri"/>
      <w:color w:val="000000"/>
      <w:sz w:val="36"/>
      <w:szCs w:val="36"/>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2044</Words>
  <Characters>2204</Characters>
  <Lines>0</Lines>
  <Paragraphs>0</Paragraphs>
  <TotalTime>2</TotalTime>
  <ScaleCrop>false</ScaleCrop>
  <LinksUpToDate>false</LinksUpToDate>
  <CharactersWithSpaces>2206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2022-08-30T08:55:00Z</dcterms:created>
  <dc:creator>W</dc:creator>
  <cp:lastModifiedBy>田琢琢</cp:lastModifiedBy>
  <dcterms:modified xsi:type="dcterms:W3CDTF">2022-08-31T08:20:31Z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40B4526D4D394348BBE51CF8C5FBD075</vt:lpwstr>
  </property>
</Properties>
</file>