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部门整体支出绩效自评报告</w:t>
      </w:r>
    </w:p>
    <w:p>
      <w:pPr>
        <w:jc w:val="center"/>
        <w:rPr>
          <w:rFonts w:hint="eastAsia" w:ascii="楷体_GB2312" w:eastAsia="楷体_GB2312"/>
          <w:color w:val="FFC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ind w:firstLine="480" w:firstLineChars="150"/>
        <w:jc w:val="left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单位名称:</w:t>
      </w:r>
      <w:r>
        <w:rPr>
          <w:rFonts w:hint="eastAsia" w:ascii="仿宋_GB2312" w:eastAsia="黑体"/>
          <w:sz w:val="32"/>
          <w:szCs w:val="32"/>
        </w:rPr>
        <w:t xml:space="preserve"> </w:t>
      </w:r>
      <w:r>
        <w:rPr>
          <w:rFonts w:hint="eastAsia" w:ascii="仿宋_GB2312" w:eastAsia="黑体"/>
          <w:sz w:val="32"/>
          <w:szCs w:val="32"/>
          <w:lang w:val="en-US" w:eastAsia="zh-CN"/>
        </w:rPr>
        <w:t>长沙市开福区东风路街道办事处</w:t>
      </w: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报告填报人:</w:t>
      </w:r>
      <w:r>
        <w:rPr>
          <w:rFonts w:hint="eastAsia" w:ascii="仿宋_GB2312" w:eastAsia="黑体"/>
          <w:sz w:val="32"/>
          <w:szCs w:val="32"/>
        </w:rPr>
        <w:t xml:space="preserve"> </w:t>
      </w:r>
      <w:r>
        <w:rPr>
          <w:rFonts w:hint="eastAsia" w:ascii="仿宋_GB2312" w:eastAsia="黑体"/>
          <w:sz w:val="32"/>
          <w:szCs w:val="32"/>
          <w:lang w:val="en-US" w:eastAsia="zh-CN"/>
        </w:rPr>
        <w:t>武可心</w:t>
      </w:r>
    </w:p>
    <w:p>
      <w:pPr>
        <w:ind w:firstLine="480" w:firstLineChars="150"/>
        <w:jc w:val="left"/>
        <w:rPr>
          <w:rFonts w:hint="eastAsia" w:ascii="黑体" w:eastAsia="黑体"/>
          <w:sz w:val="32"/>
          <w:szCs w:val="32"/>
        </w:rPr>
      </w:pPr>
    </w:p>
    <w:p>
      <w:pPr>
        <w:ind w:firstLine="480" w:firstLineChars="150"/>
        <w:jc w:val="left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办公电话：</w:t>
      </w:r>
      <w:r>
        <w:rPr>
          <w:rFonts w:hint="eastAsia" w:ascii="仿宋_GB2312" w:eastAsia="黑体"/>
          <w:sz w:val="32"/>
          <w:szCs w:val="32"/>
        </w:rPr>
        <w:t xml:space="preserve"> </w:t>
      </w:r>
      <w:r>
        <w:rPr>
          <w:rFonts w:hint="eastAsia" w:ascii="仿宋_GB2312" w:eastAsia="黑体"/>
          <w:sz w:val="32"/>
          <w:szCs w:val="32"/>
          <w:lang w:val="en-US" w:eastAsia="zh-CN"/>
        </w:rPr>
        <w:t>0731-84559964</w:t>
      </w:r>
    </w:p>
    <w:p>
      <w:pPr>
        <w:jc w:val="left"/>
        <w:rPr>
          <w:rFonts w:hint="eastAsia" w:ascii="黑体" w:eastAsia="黑体"/>
        </w:rPr>
      </w:pPr>
    </w:p>
    <w:p>
      <w:pPr>
        <w:jc w:val="left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</w:rPr>
        <w:t xml:space="preserve">   </w:t>
      </w:r>
      <w:r>
        <w:rPr>
          <w:rFonts w:hint="eastAsia" w:ascii="黑体" w:eastAsia="黑体"/>
          <w:sz w:val="32"/>
          <w:szCs w:val="32"/>
        </w:rPr>
        <w:t>手机号码：</w:t>
      </w:r>
      <w:r>
        <w:rPr>
          <w:rFonts w:hint="eastAsia" w:ascii="仿宋_GB2312" w:eastAsia="黑体"/>
          <w:sz w:val="32"/>
          <w:szCs w:val="32"/>
        </w:rPr>
        <w:t xml:space="preserve"> </w:t>
      </w:r>
      <w:r>
        <w:rPr>
          <w:rFonts w:hint="eastAsia" w:ascii="仿宋_GB2312" w:eastAsia="黑体"/>
          <w:sz w:val="32"/>
          <w:szCs w:val="32"/>
          <w:lang w:val="en-US" w:eastAsia="zh-CN"/>
        </w:rPr>
        <w:t>18874106807</w:t>
      </w: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spacing w:line="8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报告日期：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2019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22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spacing w:line="80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701" w:left="1588" w:header="1134" w:footer="1247" w:gutter="0"/>
          <w:paperSrc w:first="261" w:other="261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579" w:charSpace="-3885"/>
        </w:sectPr>
      </w:pPr>
    </w:p>
    <w:p>
      <w:pPr>
        <w:pStyle w:val="7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部门、单位基本情况</w:t>
      </w:r>
    </w:p>
    <w:p>
      <w:pPr>
        <w:snapToGrid w:val="0"/>
        <w:spacing w:line="520" w:lineRule="exact"/>
        <w:ind w:firstLine="600" w:firstLineChars="200"/>
        <w:rPr>
          <w:rFonts w:hint="eastAsia"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1．主要职能：东风路街道办事处是开福区政府的派出机关，受人民政府领导，依据法律、法规规定，在本辖区内行使相应的政府管理职能，开展社会主义物质文明、精神文明建设，创建安定团结、环境整洁、秩序优良、方便生活的文明街道。</w:t>
      </w:r>
    </w:p>
    <w:p>
      <w:pPr>
        <w:widowControl/>
        <w:spacing w:line="315" w:lineRule="atLeast"/>
        <w:ind w:firstLine="48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2．机构情况：本部门有1个行政单位组成，下设7个部门，包括：党政综合办、基层党建办、公共安全办、城市管理办、公共服务办、综合执法队、政务服务中心。</w:t>
      </w:r>
    </w:p>
    <w:p>
      <w:pPr>
        <w:ind w:firstLine="600" w:firstLineChars="200"/>
        <w:rPr>
          <w:rFonts w:hint="eastAsia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sz w:val="30"/>
          <w:szCs w:val="30"/>
        </w:rPr>
        <w:t>3．人员情况，本单位编制人数47人，实有在职人数47人；离退休人员50人，其中离休人员0人，退休人员50人。</w:t>
      </w:r>
      <w:r>
        <w:rPr>
          <w:rFonts w:ascii="宋体" w:hAnsi="宋体" w:eastAsia="宋体" w:cs="Times New Roman"/>
          <w:sz w:val="30"/>
          <w:szCs w:val="30"/>
        </w:rPr>
        <w:t xml:space="preserve"> </w:t>
      </w:r>
    </w:p>
    <w:p>
      <w:pPr>
        <w:pStyle w:val="7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7"/>
        <w:widowControl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基本支出情况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一般公共预算基本支出2249.82万元，主要用于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街道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人员经费、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日常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公用经费开支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项目支出情况</w:t>
      </w:r>
    </w:p>
    <w:p>
      <w:pPr>
        <w:widowControl/>
        <w:spacing w:line="600" w:lineRule="exact"/>
        <w:ind w:firstLine="645"/>
        <w:jc w:val="left"/>
        <w:rPr>
          <w:rFonts w:hint="eastAsia" w:ascii="宋体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30"/>
        </w:rPr>
        <w:t>项目支出3050.48万元，</w:t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>其中，一般公共服务支出1204.81万元，公共安全支出4.99万元，教育支出10万元，文化体育与传媒支出5.6万元，社会保障和就业支出1115.39万元，医疗卫生与计划生育支出70.4万元，城乡社区支出426.27万元，农林水支出7.73万元，资源勘探信息等支出196.83万元，住房保障支出0.4万元，其他支出8万元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" w:cs="仿宋"/>
          <w:sz w:val="32"/>
          <w:szCs w:val="32"/>
        </w:rPr>
        <w:t>绩效目标</w:t>
      </w:r>
      <w:r>
        <w:rPr>
          <w:rFonts w:hint="eastAsia" w:ascii="仿宋_GB2312" w:hAnsi="仿宋" w:cs="仿宋"/>
          <w:sz w:val="32"/>
          <w:szCs w:val="32"/>
          <w:lang w:eastAsia="zh-CN"/>
        </w:rPr>
        <w:t>设置</w:t>
      </w:r>
      <w:r>
        <w:rPr>
          <w:rFonts w:hint="eastAsia" w:ascii="仿宋_GB2312" w:hAnsi="仿宋" w:cs="仿宋"/>
          <w:sz w:val="32"/>
          <w:szCs w:val="32"/>
        </w:rPr>
        <w:t>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3" w:firstLine="60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本街道年初共设置6个项目大类绩效目标，分别是综合治理、城市管理、公共服务、经济发展、社会管理及其他开支；并从成本目标、时效目标、质量目标及社会满意度四个维度进行考量。</w:t>
      </w:r>
    </w:p>
    <w:p>
      <w:pPr>
        <w:widowControl/>
        <w:numPr>
          <w:ilvl w:val="0"/>
          <w:numId w:val="2"/>
        </w:numPr>
        <w:snapToGrid w:val="0"/>
        <w:spacing w:line="560" w:lineRule="exact"/>
        <w:ind w:left="1720" w:leftChars="0" w:hanging="1080" w:firstLineChars="0"/>
        <w:jc w:val="left"/>
        <w:rPr>
          <w:rFonts w:hint="eastAsia" w:ascii="仿宋_GB2312" w:hAnsi="仿宋" w:cs="仿宋"/>
          <w:sz w:val="32"/>
          <w:szCs w:val="32"/>
          <w:lang w:eastAsia="zh-CN"/>
        </w:rPr>
      </w:pPr>
      <w:r>
        <w:rPr>
          <w:rFonts w:hint="eastAsia" w:ascii="仿宋_GB2312" w:hAnsi="仿宋" w:cs="仿宋"/>
          <w:sz w:val="32"/>
          <w:szCs w:val="32"/>
          <w:lang w:eastAsia="zh-CN"/>
        </w:rPr>
        <w:t>绩效目标完成情况</w:t>
      </w:r>
    </w:p>
    <w:p>
      <w:pPr>
        <w:widowControl/>
        <w:snapToGrid w:val="0"/>
        <w:spacing w:line="560" w:lineRule="exact"/>
        <w:ind w:firstLine="600" w:firstLineChars="200"/>
        <w:jc w:val="left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社会管理事务方面，10余个基层党建阵地投入运行，创新“一核四元”社区治理，相继开设“新时代庭院讲习社”，达到了丰富群众文化生活，提升居民思想道德素质的要求；率先全省购买心理社会服务进驻基层司法所，大力开展扫黑除恶宣传活动，维稳劝返工作效果显著，到目前为止仅发生进京非访2人次，与往年同期相比下降90%。</w:t>
      </w:r>
    </w:p>
    <w:p>
      <w:pPr>
        <w:widowControl/>
        <w:snapToGrid w:val="0"/>
        <w:spacing w:line="560" w:lineRule="exact"/>
        <w:ind w:firstLine="600" w:firstLineChars="200"/>
        <w:jc w:val="left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经济发展事务方面，完成税收66782万元，完成100%，完成规上社会消费品零售总额1.35亿元，完成112.5%;其他营利性服务业预计完成5793万元，完成100%；市外境内资金完成固定资产投资预计完成29亿元，完成100%；外贸指标预计完成2384万美元，完成率100%。</w:t>
      </w:r>
    </w:p>
    <w:p>
      <w:pPr>
        <w:widowControl/>
        <w:snapToGrid w:val="0"/>
        <w:spacing w:line="560" w:lineRule="exact"/>
        <w:ind w:firstLine="600" w:firstLineChars="200"/>
        <w:jc w:val="left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城市管理事务方面，推进落实“门前三包”责任制，清理堆物1360余车，清理卫生死角540余处，清掏、疏通下水沟渠200余处，共教育整治流动摊担4000余起，制止教育落实门前三包责任制和店外经营共900余起，处罚占道停车300余起，发放温馨提示单300余次，黄牌警示单50余次。拆除违法违章广告招牌30余块310㎡；预计拆除违章12处，面积1289㎡，圆满完成绩效目标。</w:t>
      </w:r>
    </w:p>
    <w:p>
      <w:pPr>
        <w:widowControl/>
        <w:snapToGrid w:val="0"/>
        <w:spacing w:line="560" w:lineRule="exact"/>
        <w:ind w:firstLine="600" w:firstLineChars="200"/>
        <w:jc w:val="left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公共服务事务方面，开展2次优生优育科普宣传活动，家庭医生签约任务完成100%，免费产前筛查、免费新生儿疾病筛查、免费孕前优生健康检查和适龄妇女“两癌”查治任务完成100%；年累计发放低保救助金3939047元，发放优抚补助61人539708元，发放高龄补贴2256400元，街道创立就业联盟，加强就业保障，组织就业培训1000余人次，开展10次大型招聘会，新增创业主体868户，带动2600余人就业，积极对重度残疾人和特殊病种残疾人申报低保520人，将目标考核落到实处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存在的主要问题及下一步改进措施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街道整体专项经费成本目标高于绩效目标设定数，时效目标、质量目标及社会满意度目标基本完成。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3" w:firstLine="600" w:firstLineChars="200"/>
        <w:textAlignment w:val="auto"/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成本目标高于设定数主要是绩效沟通存在问题，设定成本目标时，未与上级部门及时沟通，考虑成本投入情况的变化，对上级资金预计不准确，导致出现偏差。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3"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在今后的工作中需要加强沟通，克服绩效管理中的角色认知偏差、态度偏差。</w:t>
      </w:r>
    </w:p>
    <w:p>
      <w:pPr>
        <w:widowControl/>
        <w:numPr>
          <w:ilvl w:val="0"/>
          <w:numId w:val="3"/>
        </w:numPr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绩效自评结果拟应用和公开情况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3"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  <w:lang w:val="en-US" w:eastAsia="zh-CN" w:bidi="ar-SA"/>
        </w:rPr>
        <w:t>自评结果拟应用有助于街道对自身绩效任务完成情况加强了解，找到差距与原因，更好开展今后的工作；同时也改善街道绩效管理目标设立方法，使绩效考核管理体系的设定更为科学。绩效公开有利于加强社会监督，推进民主法治建设、促进反腐倡廉和构建和谐社会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、其他需要说明的情况</w:t>
      </w:r>
    </w:p>
    <w:p>
      <w:pPr>
        <w:widowControl/>
        <w:spacing w:line="600" w:lineRule="exact"/>
        <w:ind w:firstLine="1400" w:firstLineChars="500"/>
        <w:jc w:val="lef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无其他需要说明的情况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1BE13"/>
    <w:multiLevelType w:val="singleLevel"/>
    <w:tmpl w:val="00B1BE1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770D2"/>
    <w:rsid w:val="002128DD"/>
    <w:rsid w:val="258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11"/>
    </w:pPr>
    <w:rPr>
      <w:rFonts w:ascii="Calibri" w:hAnsi="Calibri" w:eastAsia="Calibri" w:cs="Calibri"/>
      <w:color w:val="000000"/>
      <w:sz w:val="36"/>
      <w:szCs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2021-05-24T03:24:00Z</dcterms:created>
  <dc:creator>玄夏</dc:creator>
  <cp:lastModifiedBy>LLF</cp:lastModifiedBy>
  <dcterms:modified xsi:type="dcterms:W3CDTF">2021-05-24T06:58:38Z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2A34C7DF8CA940D3BA17D9E2EC21B954</vt:lpwstr>
  </property>
</Properties>
</file>