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3" w:rightChars="376" w:firstLine="906" w:firstLineChars="206"/>
        <w:jc w:val="center"/>
        <w:outlineLvl w:val="0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ind w:right="1053" w:rightChars="376" w:firstLine="906" w:firstLineChars="206"/>
        <w:jc w:val="center"/>
        <w:outlineLvl w:val="0"/>
        <w:rPr>
          <w:rFonts w:hint="eastAsia" w:eastAsia="方正小标宋_GBK"/>
          <w:sz w:val="44"/>
          <w:szCs w:val="44"/>
          <w:lang w:val="en-US" w:eastAsia="zh-CN"/>
        </w:rPr>
      </w:pPr>
    </w:p>
    <w:p>
      <w:pPr>
        <w:ind w:right="1053" w:rightChars="376" w:firstLine="906" w:firstLineChars="206"/>
        <w:jc w:val="center"/>
        <w:outlineLvl w:val="0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2022</w:t>
      </w:r>
      <w:r>
        <w:rPr>
          <w:rFonts w:eastAsia="方正小标宋_GBK"/>
          <w:sz w:val="44"/>
          <w:szCs w:val="44"/>
        </w:rPr>
        <w:t>年度</w:t>
      </w:r>
    </w:p>
    <w:p>
      <w:pPr>
        <w:ind w:right="1053" w:rightChars="376" w:firstLine="988" w:firstLineChars="206"/>
        <w:jc w:val="center"/>
        <w:outlineLvl w:val="0"/>
        <w:rPr>
          <w:rFonts w:eastAsia="方正小标宋_GBK"/>
          <w:sz w:val="48"/>
          <w:szCs w:val="48"/>
        </w:rPr>
      </w:pPr>
      <w:r>
        <w:rPr>
          <w:rFonts w:eastAsia="方正小标宋_GBK"/>
          <w:sz w:val="48"/>
          <w:szCs w:val="48"/>
        </w:rPr>
        <w:t>整体</w:t>
      </w:r>
      <w:r>
        <w:rPr>
          <w:rFonts w:eastAsia="方正小标宋_GBK"/>
          <w:b w:val="0"/>
          <w:bCs w:val="0"/>
          <w:sz w:val="48"/>
          <w:szCs w:val="48"/>
        </w:rPr>
        <w:t>支出绩效自评</w:t>
      </w:r>
      <w:r>
        <w:rPr>
          <w:rFonts w:eastAsia="方正小标宋_GBK"/>
          <w:sz w:val="48"/>
          <w:szCs w:val="48"/>
        </w:rPr>
        <w:t>报告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pStyle w:val="2"/>
        <w:ind w:right="-92" w:rightChars="-33"/>
        <w:rPr>
          <w:rFonts w:eastAsia="黑体"/>
          <w:sz w:val="32"/>
          <w:szCs w:val="32"/>
        </w:rPr>
      </w:pPr>
    </w:p>
    <w:p>
      <w:pPr>
        <w:pStyle w:val="3"/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ind w:firstLine="880" w:firstLineChars="200"/>
        <w:jc w:val="center"/>
        <w:rPr>
          <w:rFonts w:eastAsia="黑体"/>
          <w:sz w:val="44"/>
          <w:szCs w:val="44"/>
        </w:rPr>
      </w:pPr>
    </w:p>
    <w:p>
      <w:pPr>
        <w:ind w:right="465" w:rightChars="166"/>
        <w:jc w:val="center"/>
        <w:outlineLvl w:val="0"/>
        <w:rPr>
          <w:rFonts w:hint="eastAsia" w:eastAsia="方正小标宋_GBK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单位名称（盖章）：</w:t>
      </w:r>
      <w:r>
        <w:rPr>
          <w:rFonts w:hint="eastAsia" w:eastAsia="方正小标宋_GBK"/>
          <w:sz w:val="32"/>
          <w:szCs w:val="32"/>
          <w:lang w:eastAsia="zh-CN"/>
        </w:rPr>
        <w:t>长沙市开福区园林绿化维护中心</w:t>
      </w:r>
    </w:p>
    <w:p>
      <w:pPr>
        <w:ind w:firstLine="720" w:firstLineChars="200"/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一、基本情况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（一）单位基本情况</w:t>
      </w:r>
    </w:p>
    <w:p>
      <w:pPr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1．主要职能。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负责开福区园林绿化维护作业标准的制定、计划编制和组织实施；负责全区园林绿化工程指导、跟踪及作业质量监督考核；负责全区公共绿地的巡查管理，公共绿地临时占用、城市树木伐移的前期查勘；负责组织实施全区的义务植树、古树名木保护、花园式单位创建、公共绿地的规划与控制。</w:t>
      </w:r>
    </w:p>
    <w:p>
      <w:pPr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2．机构情况。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长沙市开福区园林绿化维护中心机构设置为“一室七科五园区”，即办公室、财务科、生产维护科、安全督查科、绿化管理科、工程技术科、物资采购科、创城办；下设湘江风光带管理办公室、月湖公园管理办公室、社区公园管理办公室、秀峰山公园管理办公室、青竹湖片区管理办公室共五个生产维护部门。</w:t>
      </w:r>
    </w:p>
    <w:p>
      <w:pPr>
        <w:snapToGrid w:val="0"/>
        <w:spacing w:line="52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3．人员情况。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在职在编正式员工55人，其中领导班子4人，改非领导3人。退休职工86人。临聘人员539人，其中机关临聘11人、专技人员5人、一线临聘523人。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（二）单位年度整体支出绩效目标，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级专项资金绩效目标、其他项目支出（除</w:t>
      </w:r>
      <w:r>
        <w:rPr>
          <w:rFonts w:hint="eastAsia" w:eastAsia="楷体_GB2312"/>
          <w:b/>
          <w:sz w:val="32"/>
          <w:szCs w:val="32"/>
        </w:rPr>
        <w:t>区</w:t>
      </w:r>
      <w:r>
        <w:rPr>
          <w:rFonts w:eastAsia="楷体_GB2312"/>
          <w:b/>
          <w:sz w:val="32"/>
          <w:szCs w:val="32"/>
        </w:rPr>
        <w:t>级专项资金以外）绩效目标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1、党建工作：公园支部打造党建活动室，在3月植树节开展精品主题党日活动。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2、创城工作：与开福区落实长沙市创城工作领导小组配合，与义务植树基地建设、古树名木复壮养护工作相结合，落实社区公园建设、新建或提质道路项目建设等各项工作。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3、推进开福区落实长沙市创建国家生态园林城市工作。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4、2022年根据市林业局、市绿委的工作要求，我中心需建设1个义务植树基地，5个植保基地。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5、园林中心将按照市局要求认真完成我区2022年濒危衰弱古树复壮工作任务。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  <w:t>立足主责主业，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园林维护精细化，做实做优日常工作。严格落实河湖林长制工作，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7、建立健全安全岗位制度，更加细致地做好安全生产工作。</w:t>
      </w:r>
    </w:p>
    <w:p>
      <w:pPr>
        <w:pStyle w:val="7"/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二、一般公共预算支出情况</w:t>
      </w:r>
    </w:p>
    <w:p>
      <w:pPr>
        <w:pStyle w:val="7"/>
        <w:spacing w:line="600" w:lineRule="exact"/>
        <w:ind w:firstLine="643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（一）基本支出情况</w:t>
      </w:r>
    </w:p>
    <w:p>
      <w:pPr>
        <w:pStyle w:val="7"/>
        <w:spacing w:line="600" w:lineRule="exact"/>
        <w:ind w:firstLine="64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年初预算收入12481.59万元，基本支出5432.3万元，项目支出7049.29万元。基本支出中人员经费5259.70万元，占基本支出96.82%，日常公用经费172.6万元，占基本支出3.18%。人员经费中在职人员经费支出1569.13万元，退休人员经费支出851.08万元，机关临聘人员经费支出148.35万元，专业技术人员经费支出55.04万元，一线临聘人员经费支出2636.1万元。</w:t>
      </w:r>
    </w:p>
    <w:p>
      <w:pPr>
        <w:pStyle w:val="7"/>
        <w:numPr>
          <w:ilvl w:val="0"/>
          <w:numId w:val="1"/>
        </w:numPr>
        <w:spacing w:line="600" w:lineRule="exact"/>
        <w:ind w:firstLine="6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项目支出情况</w:t>
      </w:r>
    </w:p>
    <w:p>
      <w:pPr>
        <w:pStyle w:val="7"/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43180</wp:posOffset>
            </wp:positionV>
            <wp:extent cx="4570730" cy="2915920"/>
            <wp:effectExtent l="0" t="0" r="1270" b="177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</w:t>
      </w:r>
    </w:p>
    <w:p>
      <w:pPr>
        <w:pStyle w:val="7"/>
        <w:numPr>
          <w:ilvl w:val="0"/>
          <w:numId w:val="2"/>
        </w:numPr>
        <w:spacing w:line="60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政府性基金预算支出情况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7"/>
        <w:numPr>
          <w:ilvl w:val="0"/>
          <w:numId w:val="0"/>
        </w:numPr>
        <w:spacing w:line="60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国有资本经营预算支出情况</w:t>
      </w:r>
    </w:p>
    <w:p>
      <w:pPr>
        <w:pStyle w:val="7"/>
        <w:numPr>
          <w:ilvl w:val="0"/>
          <w:numId w:val="0"/>
        </w:numPr>
        <w:spacing w:line="600" w:lineRule="exact"/>
        <w:ind w:left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无。</w:t>
      </w:r>
    </w:p>
    <w:p>
      <w:pPr>
        <w:pStyle w:val="7"/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社会保险基金预算支出情况</w:t>
      </w:r>
    </w:p>
    <w:p>
      <w:pPr>
        <w:pStyle w:val="7"/>
        <w:numPr>
          <w:ilvl w:val="0"/>
          <w:numId w:val="0"/>
        </w:numPr>
        <w:spacing w:line="600" w:lineRule="exact"/>
        <w:ind w:leftChars="200"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部门整体支出绩效情况</w:t>
      </w:r>
    </w:p>
    <w:p>
      <w:pPr>
        <w:pStyle w:val="3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开福区园林绿化维护中心不断提质园林绿化工作，坚持党建引领，切实做到园林维护精细化，绿化管理精致化，项目建设精美化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全面推进各项任务指标落实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。整体支出绩效情况如下：</w:t>
      </w:r>
    </w:p>
    <w:p>
      <w:pPr>
        <w:pStyle w:val="4"/>
        <w:numPr>
          <w:ilvl w:val="0"/>
          <w:numId w:val="3"/>
        </w:numPr>
        <w:ind w:left="0" w:leftChars="0" w:firstLine="562" w:firstLineChars="175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运行成本方面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</w:p>
    <w:p>
      <w:pPr>
        <w:pStyle w:val="4"/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一般公共财政预算收入8541.02万元，年中预算调整12481.6万元，实际支出12481.6万元，其中人员经费5259.70万元，公用经费支出172.6万元，维护成本支出2700.57万元，上级资金补助1003万元，开福区精美城区建设资金3298.6万元，绿化恢复支出47.13万元。预算执行率达100%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（二）管理效率方面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党建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工作：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园林中心始终将增强干部政治修养作为首要工作任务，坚持每月开展党章党规专题课堂，积极邀请党校老师进行授课，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2022年共开展20次党组理论学习，11次党章党规讲习所（专题课堂），机关支部与公园支部共开展22次支部委员会、主题党日活动，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通过党组会、党风廉政建设会议、职工大会、中层以上负责人会议、谈心谈话等方式形成逢会必学、学必深思的学习理念，确保意识形态领域绝对安全，引领中心深化落实主责主业。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bidi="zh-CN"/>
        </w:rPr>
        <w:t>推动清廉文化工作：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园林中心制定开园党发[2022]4号《关于推进清廉园林建设的实施方案》；坚持每一季度开展党风廉政建设工作会议，严格执行“三重一大”会议议事制度要求，积极邀请区纪委驻城管局纪检组参与重大事项决策，及时开展谈心谈话、批评教育，防范化解风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Chars="175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（三）履职效能方面，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主责主业，认真落实精细化管养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完成绿地面积核量。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2022年，园林中心完成开福区公共绿地核量工作，上报公共绿地面积为8290312㎡。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日常绿化维护，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应对今夏高温干旱持续情况，园林中心全面启动抗旱保苗特级预案，合力保障抗旱保苗工作实效。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共计修剪乔木约10万株，清理垃圾约1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.4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万吨，浇水约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万吨，除杂约1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884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万㎡，中耕作围约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万㎡，补种乔、灌木约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万株，栽种摆放草花约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120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开展春季工作培训会。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zh-CN"/>
        </w:rPr>
        <w:t>4月24日，邀请市城管局、园林绿化相关工作的专家、教授，对生产部门的工作人员进行园林绿化维护春季工作专业知识培训，提高广大干部职工专业素养及业务能力，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规范作业行为，确保员工安全工作、高效工作、高品质工作。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处置110处警、数字化案卷。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数字化平台共计接收案卷12962条，回退3730条，实际处置9232条。网格化平台共计接收案卷176条，回退71条、实际处置105条。110案卷共计接收18条，已处置18条，处置率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100%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12345市民热线工单处置情况。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共处置工单1127条，满意度98%，处置率100%。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河长制工作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在湘江、浏阳河、捞刀河风光带共计修剪除杂约1200万㎡,修剪苗木约13万株,清扫保洁约1400万㎡,运枯枝、落叶和垃圾约6000吨,补铺草皮约1.8万㎡,补栽苗木约11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bidi="zh-CN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bidi="zh-CN"/>
          <w14:textFill>
            <w14:solidFill>
              <w14:schemeClr w14:val="tx1"/>
            </w14:solidFill>
          </w14:textFill>
        </w:rPr>
        <w:t>万株,处置卫生保洁案卷36条。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left="643" w:firstLine="0" w:firstLineChars="0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  <w:lang w:eastAsia="zh-CN"/>
        </w:rPr>
        <w:t>（四）社会效应方面，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结合“创城”指标打造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  <w:lang w:eastAsia="zh-CN"/>
        </w:rPr>
        <w:t>市民满意项目。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bidi="zh-CN"/>
        </w:rPr>
        <w:t>1、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bidi="zh-CN"/>
        </w:rPr>
        <w:t>建设项目：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2022年，我中心自主实施的项目共22个，其中街角花园项目建设7个，风光带及河堤平台提质改造项目类3个，道路绿化提质建设项目类6个，市、区相关部门及领导交办任务6个。其中，已完成实施项目6个，山月公园（一期）建设项目因山体存在安全隐患，已报市城管局及区政府同意终止实施，欣彤路新建配套设施建设项目、湘江风光带基础设施提质建设项目、湘江世纪城沿线河堤二级平台提质改造项目预计12月开工，所有绿化考核项目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 w:bidi="zh-CN"/>
        </w:rPr>
        <w:t>将于12月底全部完工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  <w:lang w:eastAsia="zh-CN"/>
        </w:rPr>
        <w:t>安全生产工作：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持续加强安全隐患大排查。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我中心共开展各类安全检查17次，排查事故隐患76处，现已全部完成整改，完成应急处突85余起，出动80余人次，车辆70台次，未出现重大安全事故。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日常督查工作。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园林中心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zh-CN"/>
        </w:rPr>
        <w:t>坚持跟踪督查，全程监管，确保日常督查工作的落实到位。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bidi="zh-CN"/>
        </w:rPr>
        <w:t>共计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下发整改通知书516份，已整改318份。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bidi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蓝天保卫战工作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zh-CN"/>
        </w:rPr>
        <w:t>持续实施大气污染防治行动，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今年出动人员8万人次，车辆1万余台次，除杂700万余㎡，打草500余万㎡，清扫600余万㎡，修剪300余万㎡，打药60余吨，浇水1万余吨，清理死株4万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余株，补栽草皮苗木30万余㎡。持续加强对公园湖水治理和周边环境整治，切实改善月湖公园水质及周边生态环境。2022年，在蓝天保卫战工作考核通报中，园林中心于5月获得B类单位一等奖，其余月份均为二等奖。市民对蓝天保卫战工作开支表示积极反响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可持续发展能力方面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2022年义务植树活动，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本年度共建设2个义务植树基地，包括中青路市级义务植树基地和万家丽路区级义务植树基地；设置6个植保基地，包括月湖公园市级义务植保基地1个，及湘江风光带（中山路-湘雅路）、植基塔公园、捞刀河风光带（滨江北路段）、秀峰山公园及栖凤路社区公园5个区级植保基地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落实程序化前置查勘</w:t>
      </w:r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32"/>
          <w:szCs w:val="32"/>
          <w:lang w:eastAsia="zh-CN" w:bidi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bidi="zh-CN"/>
          <w14:textFill>
            <w14:solidFill>
              <w14:schemeClr w14:val="tx1"/>
            </w14:solidFill>
          </w14:textFill>
        </w:rPr>
        <w:t>园林中心严格按照前置查勘流程进行证前查勘并落实证后巡查，做好临占公共绿地的规范管理，共计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zh-CN"/>
          <w14:textFill>
            <w14:solidFill>
              <w14:schemeClr w14:val="tx1"/>
            </w14:solidFill>
          </w14:textFill>
        </w:rPr>
        <w:t>完成51家单位临时占绿、城市树木伐移申请的现场查勘，共出具现场查勘意见51份。为城市绿化品质提升打好基础。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服务对象满意度方面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园林工作服务对象范围较广，提升绿化品质，为广大市民创造良好的居住环境，建设人民满意公园，给市民提供舒适的休闲娱乐空间，积极开展蓝天保卫战工作，持续实施大气污染防治行动。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 w:bidi="zh-CN"/>
        </w:rPr>
        <w:t>为全区绿化品质的提升提供有力保障。</w:t>
      </w:r>
    </w:p>
    <w:p>
      <w:pPr>
        <w:pStyle w:val="7"/>
        <w:numPr>
          <w:ilvl w:val="0"/>
          <w:numId w:val="7"/>
        </w:numPr>
        <w:spacing w:line="600" w:lineRule="exact"/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存在的问题及原因分析</w:t>
      </w:r>
    </w:p>
    <w:p>
      <w:pPr>
        <w:pStyle w:val="7"/>
        <w:numPr>
          <w:ilvl w:val="0"/>
          <w:numId w:val="8"/>
        </w:numPr>
        <w:spacing w:line="600" w:lineRule="exact"/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部分项目结转资金存量大。如城市美化经费、设备租赁经费，主要原因是项目结算不及时，虽存在变化因素，但结转指标较大，需进一步加大执行力度，减少年末结转资金数。</w:t>
      </w:r>
    </w:p>
    <w:p>
      <w:pPr>
        <w:pStyle w:val="7"/>
        <w:numPr>
          <w:ilvl w:val="0"/>
          <w:numId w:val="8"/>
        </w:numPr>
        <w:spacing w:line="600" w:lineRule="exact"/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经21年对市场服务外包重点绩效评价以来，外包各类问题得到了很大的改善和解决，但仍然有外包单位主体责任意识不强的问题，说什么做什么，不能很好的预知风险，防范意识不强；另外包单位购买社会保险的问题，基于显示情况考虑，暂时以给员工社保补助的方式解决问题。</w:t>
      </w:r>
    </w:p>
    <w:p>
      <w:pPr>
        <w:pStyle w:val="7"/>
        <w:numPr>
          <w:ilvl w:val="0"/>
          <w:numId w:val="8"/>
        </w:numPr>
        <w:spacing w:line="600" w:lineRule="exact"/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" w:cs="Times New Roman"/>
          <w:b w:val="0"/>
          <w:bCs w:val="0"/>
          <w:color w:val="000000"/>
          <w:sz w:val="32"/>
          <w:szCs w:val="32"/>
        </w:rPr>
        <w:t>内部控制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32"/>
          <w:szCs w:val="32"/>
        </w:rPr>
        <w:t>待加强</w:t>
      </w:r>
      <w:r>
        <w:rPr>
          <w:rFonts w:hint="eastAsia" w:ascii="Times New Roman" w:hAnsi="Times New Roman" w:eastAsia="楷体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采购单位对于内部控制制度重视程度不够，执行内控制度不到位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9"/>
        </w:num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下一步改进措施</w:t>
      </w:r>
    </w:p>
    <w:p>
      <w:pPr>
        <w:pStyle w:val="3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细化预算编制，加强预算管理意识，严格按照预算编制的相关制度和要求进行预算编制，全面编制预算项目，优先保障固定性的的费用支出项目，尽量压缩变动性的项目，提高预算编制的科学性、严谨性和可控性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2、强化预算执行。严格按照预算项目进行，不得随意调整和变更预算，确保预算的刚性，做好与上级财政的衔接协调，保障项目资金投入进度，发挥预算资金的使用效益。</w:t>
      </w:r>
    </w:p>
    <w:p>
      <w:pPr>
        <w:pStyle w:val="4"/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3、坚持财务分析。每季度进行财务收支分析，对收支不合理现象做出预警，落实项目专项的报批进度和指标下达，加强项目实施进度跟踪，开展项目绩效评价，确保项目绩效目标完成。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九、绩效自评结果拟应用和公开情况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我中心认真开展绩效自评，并按上级要求做好公开工时。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其他需要说明的情况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4E7B0"/>
    <w:multiLevelType w:val="singleLevel"/>
    <w:tmpl w:val="83A4E7B0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284B625"/>
    <w:multiLevelType w:val="singleLevel"/>
    <w:tmpl w:val="9284B625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A006D9A"/>
    <w:multiLevelType w:val="singleLevel"/>
    <w:tmpl w:val="DA006D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F5CA6AB"/>
    <w:multiLevelType w:val="singleLevel"/>
    <w:tmpl w:val="0F5CA6A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EE15DD9"/>
    <w:multiLevelType w:val="singleLevel"/>
    <w:tmpl w:val="1EE15DD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2EC7939"/>
    <w:multiLevelType w:val="singleLevel"/>
    <w:tmpl w:val="22EC793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2EC8B36"/>
    <w:multiLevelType w:val="singleLevel"/>
    <w:tmpl w:val="22EC8B3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58590DA"/>
    <w:multiLevelType w:val="singleLevel"/>
    <w:tmpl w:val="458590D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48ECFC4F"/>
    <w:multiLevelType w:val="singleLevel"/>
    <w:tmpl w:val="48ECFC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NzA3NTFkNzlmMGQyNDU1YmI1MjIyYWRjOWMxZjUifQ=="/>
  </w:docVars>
  <w:rsids>
    <w:rsidRoot w:val="00000000"/>
    <w:rsid w:val="018960DD"/>
    <w:rsid w:val="026479D4"/>
    <w:rsid w:val="059940EB"/>
    <w:rsid w:val="05A24DFB"/>
    <w:rsid w:val="0A3665F0"/>
    <w:rsid w:val="0B293767"/>
    <w:rsid w:val="0E2367CE"/>
    <w:rsid w:val="11C26637"/>
    <w:rsid w:val="14500EA5"/>
    <w:rsid w:val="17C074F9"/>
    <w:rsid w:val="17DF4A9A"/>
    <w:rsid w:val="181D013E"/>
    <w:rsid w:val="1ACC0512"/>
    <w:rsid w:val="1B6F3710"/>
    <w:rsid w:val="1CB83672"/>
    <w:rsid w:val="200F7270"/>
    <w:rsid w:val="21C22474"/>
    <w:rsid w:val="24E02777"/>
    <w:rsid w:val="253305D1"/>
    <w:rsid w:val="28BC3D0D"/>
    <w:rsid w:val="29122107"/>
    <w:rsid w:val="2C70538A"/>
    <w:rsid w:val="3025488D"/>
    <w:rsid w:val="324D6E09"/>
    <w:rsid w:val="33636ADA"/>
    <w:rsid w:val="34125EDF"/>
    <w:rsid w:val="35243365"/>
    <w:rsid w:val="35D663FF"/>
    <w:rsid w:val="3B4121F6"/>
    <w:rsid w:val="44A570AC"/>
    <w:rsid w:val="44C80E26"/>
    <w:rsid w:val="44CC6C2E"/>
    <w:rsid w:val="462271B5"/>
    <w:rsid w:val="4A5969BE"/>
    <w:rsid w:val="504F596E"/>
    <w:rsid w:val="51061D27"/>
    <w:rsid w:val="54EF2153"/>
    <w:rsid w:val="55CC2F32"/>
    <w:rsid w:val="56CC0972"/>
    <w:rsid w:val="591D5B44"/>
    <w:rsid w:val="5D172CE4"/>
    <w:rsid w:val="62CE6704"/>
    <w:rsid w:val="647C5B23"/>
    <w:rsid w:val="66E37976"/>
    <w:rsid w:val="696C260A"/>
    <w:rsid w:val="6E4049F8"/>
    <w:rsid w:val="6E755801"/>
    <w:rsid w:val="72142C7F"/>
    <w:rsid w:val="72EC054F"/>
    <w:rsid w:val="7480299F"/>
    <w:rsid w:val="7A07519F"/>
    <w:rsid w:val="7A1E72BA"/>
    <w:rsid w:val="7C3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First Indent"/>
    <w:basedOn w:val="2"/>
    <w:next w:val="4"/>
    <w:qFormat/>
    <w:uiPriority w:val="99"/>
    <w:pPr>
      <w:ind w:firstLine="420" w:firstLineChars="100"/>
    </w:pPr>
  </w:style>
  <w:style w:type="paragraph" w:styleId="4">
    <w:name w:val="Body Text Indent 3"/>
    <w:basedOn w:val="1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3441</Words>
  <Characters>3693</Characters>
  <Lines>0</Lines>
  <Paragraphs>0</Paragraphs>
  <TotalTime>1</TotalTime>
  <ScaleCrop>false</ScaleCrop>
  <LinksUpToDate>false</LinksUpToDate>
  <CharactersWithSpaces>3704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2023-04-21T03:34:00Z</dcterms:created>
  <dc:creator>Administrator</dc:creator>
  <cp:lastModifiedBy>偏心螺丝</cp:lastModifiedBy>
  <dcterms:modified xsi:type="dcterms:W3CDTF">2023-10-12T06:30:34Z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FF7DBA2D6DD54FCBA7C2B35FB1641FCD</vt:lpwstr>
  </property>
</Properties>
</file>