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2A" w:rsidRPr="008437E7" w:rsidRDefault="009621FC">
      <w:pPr>
        <w:pStyle w:val="3"/>
        <w:widowControl/>
        <w:spacing w:beforeAutospacing="0" w:afterAutospacing="0" w:line="600" w:lineRule="exact"/>
        <w:jc w:val="center"/>
        <w:rPr>
          <w:rFonts w:ascii="仿宋" w:eastAsia="仿宋" w:hAnsi="仿宋" w:cs="仿宋" w:hint="default"/>
          <w:sz w:val="48"/>
          <w:szCs w:val="48"/>
        </w:rPr>
      </w:pPr>
      <w:r w:rsidRPr="008437E7">
        <w:rPr>
          <w:rFonts w:ascii="仿宋" w:eastAsia="仿宋" w:hAnsi="仿宋" w:cs="仿宋"/>
          <w:sz w:val="48"/>
          <w:szCs w:val="48"/>
        </w:rPr>
        <w:t>2021</w:t>
      </w:r>
      <w:r w:rsidRPr="008437E7">
        <w:rPr>
          <w:rFonts w:ascii="仿宋" w:eastAsia="仿宋" w:hAnsi="仿宋" w:cs="仿宋"/>
          <w:sz w:val="48"/>
          <w:szCs w:val="48"/>
        </w:rPr>
        <w:t>年</w:t>
      </w:r>
      <w:r w:rsidRPr="008437E7">
        <w:rPr>
          <w:rFonts w:ascii="仿宋" w:eastAsia="仿宋" w:hAnsi="仿宋" w:cs="仿宋" w:hint="default"/>
          <w:sz w:val="48"/>
          <w:szCs w:val="48"/>
        </w:rPr>
        <w:t>开福区园林绿化维护中心</w:t>
      </w:r>
      <w:r w:rsidRPr="008437E7">
        <w:rPr>
          <w:rFonts w:ascii="仿宋" w:eastAsia="仿宋" w:hAnsi="仿宋" w:cs="仿宋"/>
          <w:sz w:val="48"/>
          <w:szCs w:val="48"/>
        </w:rPr>
        <w:t>部门</w:t>
      </w:r>
      <w:r w:rsidRPr="008437E7">
        <w:rPr>
          <w:rFonts w:ascii="仿宋" w:eastAsia="仿宋" w:hAnsi="仿宋" w:cs="仿宋" w:hint="default"/>
          <w:sz w:val="48"/>
          <w:szCs w:val="48"/>
        </w:rPr>
        <w:t>预算</w:t>
      </w:r>
    </w:p>
    <w:p w:rsidR="00F15B2A" w:rsidRPr="008437E7" w:rsidRDefault="00F15B2A">
      <w:pPr>
        <w:spacing w:line="600" w:lineRule="exact"/>
      </w:pPr>
    </w:p>
    <w:p w:rsidR="00F15B2A" w:rsidRPr="008437E7" w:rsidRDefault="009621FC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 w:rsidRPr="008437E7">
        <w:rPr>
          <w:rFonts w:eastAsia="黑体"/>
          <w:bCs/>
          <w:kern w:val="0"/>
          <w:sz w:val="32"/>
          <w:szCs w:val="32"/>
        </w:rPr>
        <w:t>目</w:t>
      </w:r>
      <w:r w:rsidRPr="008437E7">
        <w:rPr>
          <w:rFonts w:eastAsia="黑体"/>
          <w:bCs/>
          <w:kern w:val="0"/>
          <w:sz w:val="32"/>
          <w:szCs w:val="32"/>
        </w:rPr>
        <w:t xml:space="preserve"> </w:t>
      </w:r>
      <w:r w:rsidRPr="008437E7">
        <w:rPr>
          <w:rFonts w:eastAsia="黑体"/>
          <w:bCs/>
          <w:kern w:val="0"/>
          <w:sz w:val="32"/>
          <w:szCs w:val="32"/>
        </w:rPr>
        <w:t>录</w:t>
      </w:r>
    </w:p>
    <w:p w:rsidR="00F15B2A" w:rsidRPr="008437E7" w:rsidRDefault="009621FC">
      <w:pPr>
        <w:widowControl/>
        <w:numPr>
          <w:ilvl w:val="0"/>
          <w:numId w:val="1"/>
        </w:numPr>
        <w:spacing w:line="600" w:lineRule="exact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8437E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2021</w:t>
      </w:r>
      <w:r w:rsidRPr="008437E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年部门预算说明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一、部门基本概况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二、部门预算单位构成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三、部门收支总体情况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四、一般公共预算拨款支出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五、政府性基金预算支出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六、其他重要事项的情况说明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七、名词解释</w:t>
      </w:r>
    </w:p>
    <w:p w:rsidR="00F15B2A" w:rsidRPr="008437E7" w:rsidRDefault="009621FC">
      <w:pPr>
        <w:widowControl/>
        <w:spacing w:line="600" w:lineRule="exact"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 w:rsidRPr="008437E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第二部分</w:t>
      </w:r>
      <w:r w:rsidRPr="008437E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 xml:space="preserve"> 2021</w:t>
      </w:r>
      <w:r w:rsidRPr="008437E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年部门预算表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1</w:t>
      </w:r>
      <w:r w:rsidRPr="008437E7">
        <w:rPr>
          <w:rFonts w:ascii="仿宋" w:eastAsia="仿宋" w:hAnsi="仿宋" w:cs="仿宋" w:hint="eastAsia"/>
          <w:sz w:val="32"/>
          <w:szCs w:val="32"/>
        </w:rPr>
        <w:t>、部门收支总表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2</w:t>
      </w:r>
      <w:r w:rsidRPr="008437E7">
        <w:rPr>
          <w:rFonts w:ascii="仿宋" w:eastAsia="仿宋" w:hAnsi="仿宋" w:cs="仿宋" w:hint="eastAsia"/>
          <w:sz w:val="32"/>
          <w:szCs w:val="32"/>
        </w:rPr>
        <w:t>、部门收入总表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3</w:t>
      </w:r>
      <w:r w:rsidRPr="008437E7">
        <w:rPr>
          <w:rFonts w:ascii="仿宋" w:eastAsia="仿宋" w:hAnsi="仿宋" w:cs="仿宋" w:hint="eastAsia"/>
          <w:sz w:val="32"/>
          <w:szCs w:val="32"/>
        </w:rPr>
        <w:t>、部门支出总表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4</w:t>
      </w:r>
      <w:r w:rsidRPr="008437E7">
        <w:rPr>
          <w:rFonts w:ascii="仿宋" w:eastAsia="仿宋" w:hAnsi="仿宋" w:cs="仿宋" w:hint="eastAsia"/>
          <w:sz w:val="32"/>
          <w:szCs w:val="32"/>
        </w:rPr>
        <w:t>、财政拨款收支总表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5</w:t>
      </w:r>
      <w:r w:rsidRPr="008437E7">
        <w:rPr>
          <w:rFonts w:ascii="仿宋" w:eastAsia="仿宋" w:hAnsi="仿宋" w:cs="仿宋" w:hint="eastAsia"/>
          <w:sz w:val="32"/>
          <w:szCs w:val="32"/>
        </w:rPr>
        <w:t>、一般公共预算支出表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6</w:t>
      </w:r>
      <w:r w:rsidRPr="008437E7">
        <w:rPr>
          <w:rFonts w:ascii="仿宋" w:eastAsia="仿宋" w:hAnsi="仿宋" w:cs="仿宋" w:hint="eastAsia"/>
          <w:sz w:val="32"/>
          <w:szCs w:val="32"/>
        </w:rPr>
        <w:t>、一般公共预算基本支出表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7</w:t>
      </w:r>
      <w:r w:rsidRPr="008437E7">
        <w:rPr>
          <w:rFonts w:ascii="仿宋" w:eastAsia="仿宋" w:hAnsi="仿宋" w:cs="仿宋" w:hint="eastAsia"/>
          <w:sz w:val="32"/>
          <w:szCs w:val="32"/>
        </w:rPr>
        <w:t>、一般公共预算“三公”经费支出表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8</w:t>
      </w:r>
      <w:r w:rsidRPr="008437E7">
        <w:rPr>
          <w:rFonts w:ascii="仿宋" w:eastAsia="仿宋" w:hAnsi="仿宋" w:cs="仿宋" w:hint="eastAsia"/>
          <w:sz w:val="32"/>
          <w:szCs w:val="32"/>
        </w:rPr>
        <w:t>、政府性基金预算支出表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9</w:t>
      </w:r>
      <w:r w:rsidRPr="008437E7">
        <w:rPr>
          <w:rFonts w:ascii="仿宋" w:eastAsia="仿宋" w:hAnsi="仿宋" w:cs="仿宋" w:hint="eastAsia"/>
          <w:sz w:val="32"/>
          <w:szCs w:val="32"/>
        </w:rPr>
        <w:t>、国有资本经营预算支出表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10</w:t>
      </w:r>
      <w:r w:rsidRPr="008437E7">
        <w:rPr>
          <w:rFonts w:ascii="仿宋" w:eastAsia="仿宋" w:hAnsi="仿宋" w:cs="仿宋" w:hint="eastAsia"/>
          <w:sz w:val="32"/>
          <w:szCs w:val="32"/>
        </w:rPr>
        <w:t>、项目支出绩效目标表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lastRenderedPageBreak/>
        <w:t>11</w:t>
      </w:r>
      <w:r w:rsidRPr="008437E7">
        <w:rPr>
          <w:rFonts w:ascii="仿宋" w:eastAsia="仿宋" w:hAnsi="仿宋" w:cs="仿宋" w:hint="eastAsia"/>
          <w:sz w:val="32"/>
          <w:szCs w:val="32"/>
        </w:rPr>
        <w:t>、整体支出绩效目标表</w:t>
      </w: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kern w:val="0"/>
          <w:sz w:val="32"/>
          <w:szCs w:val="32"/>
        </w:rPr>
        <w:t>注：以上部门预算报表中，空表表示本部门无相关收支情况。</w:t>
      </w:r>
    </w:p>
    <w:p w:rsidR="00F15B2A" w:rsidRPr="008437E7" w:rsidRDefault="00F15B2A">
      <w:pPr>
        <w:widowControl/>
        <w:spacing w:line="60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</w:p>
    <w:p w:rsidR="00F15B2A" w:rsidRPr="008437E7" w:rsidRDefault="00F15B2A">
      <w:pPr>
        <w:widowControl/>
        <w:spacing w:line="60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</w:p>
    <w:p w:rsidR="00F15B2A" w:rsidRPr="008437E7" w:rsidRDefault="009621FC">
      <w:pPr>
        <w:widowControl/>
        <w:spacing w:line="600" w:lineRule="exact"/>
        <w:jc w:val="center"/>
        <w:rPr>
          <w:rFonts w:ascii="黑体" w:eastAsia="黑体" w:hAnsi="黑体" w:cs="黑体"/>
          <w:b/>
          <w:kern w:val="0"/>
          <w:sz w:val="44"/>
          <w:szCs w:val="44"/>
        </w:rPr>
      </w:pPr>
      <w:r w:rsidRPr="008437E7">
        <w:rPr>
          <w:rFonts w:ascii="黑体" w:eastAsia="黑体" w:hAnsi="黑体" w:cs="黑体" w:hint="eastAsia"/>
          <w:b/>
          <w:kern w:val="0"/>
          <w:sz w:val="44"/>
          <w:szCs w:val="44"/>
        </w:rPr>
        <w:t>第一部分</w:t>
      </w:r>
      <w:r w:rsidRPr="008437E7">
        <w:rPr>
          <w:rFonts w:ascii="黑体" w:eastAsia="黑体" w:hAnsi="黑体" w:cs="黑体" w:hint="eastAsia"/>
          <w:b/>
          <w:kern w:val="0"/>
          <w:sz w:val="44"/>
          <w:szCs w:val="44"/>
        </w:rPr>
        <w:t xml:space="preserve"> 2021</w:t>
      </w:r>
      <w:r w:rsidRPr="008437E7">
        <w:rPr>
          <w:rFonts w:ascii="黑体" w:eastAsia="黑体" w:hAnsi="黑体" w:cs="黑体" w:hint="eastAsia"/>
          <w:b/>
          <w:kern w:val="0"/>
          <w:sz w:val="44"/>
          <w:szCs w:val="44"/>
        </w:rPr>
        <w:t>年部门预算说明</w:t>
      </w:r>
    </w:p>
    <w:p w:rsidR="00F15B2A" w:rsidRPr="008437E7" w:rsidRDefault="00F15B2A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 w:rsidR="00F15B2A" w:rsidRPr="008437E7" w:rsidRDefault="009621FC">
      <w:pPr>
        <w:widowControl/>
        <w:spacing w:line="600" w:lineRule="exact"/>
        <w:ind w:firstLineChars="200" w:firstLine="640"/>
        <w:rPr>
          <w:rFonts w:ascii="黑体" w:eastAsia="黑体" w:hAnsi="黑体" w:cs="仿宋"/>
          <w:bCs/>
          <w:kern w:val="0"/>
          <w:sz w:val="32"/>
          <w:szCs w:val="32"/>
        </w:rPr>
      </w:pPr>
      <w:r w:rsidRPr="008437E7">
        <w:rPr>
          <w:rFonts w:ascii="黑体" w:eastAsia="黑体" w:hAnsi="黑体" w:cs="仿宋" w:hint="eastAsia"/>
          <w:bCs/>
          <w:kern w:val="0"/>
          <w:sz w:val="32"/>
          <w:szCs w:val="32"/>
        </w:rPr>
        <w:t>一、部门基本概况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Pr="008437E7">
        <w:rPr>
          <w:rFonts w:ascii="仿宋" w:eastAsia="仿宋" w:hAnsi="仿宋" w:cs="仿宋" w:hint="eastAsia"/>
          <w:b/>
          <w:bCs/>
          <w:sz w:val="32"/>
          <w:szCs w:val="32"/>
        </w:rPr>
        <w:t>、职能职责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本单位为区政府二级职能部门，单位性质为公益一类事业单位。主要职能是负责全区主次干道、社区的公共绿地和区属公园的绿化维护管理，绿化项目的建设及技术指导，全民义务植树的宣传发动及组织实施，绿色社区和花园式单位创建及“绿色城市”建设等工作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 w:rsidRPr="008437E7">
        <w:rPr>
          <w:rFonts w:ascii="仿宋" w:eastAsia="仿宋" w:hAnsi="仿宋" w:cs="仿宋" w:hint="eastAsia"/>
          <w:b/>
          <w:bCs/>
          <w:sz w:val="32"/>
          <w:szCs w:val="32"/>
        </w:rPr>
        <w:t>、机构设置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本部门由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个行政单位及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个二级机构组成。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黑体" w:eastAsia="黑体" w:hAnsi="黑体" w:cs="仿宋"/>
          <w:bCs/>
          <w:sz w:val="32"/>
          <w:szCs w:val="32"/>
        </w:rPr>
      </w:pPr>
      <w:r w:rsidRPr="008437E7">
        <w:rPr>
          <w:rFonts w:ascii="黑体" w:eastAsia="黑体" w:hAnsi="黑体" w:cs="仿宋" w:hint="eastAsia"/>
          <w:bCs/>
          <w:sz w:val="32"/>
          <w:szCs w:val="32"/>
        </w:rPr>
        <w:t>二、部门预算单位构成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园林中心只有本级，没有其他二级预算单位，因此，纳入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年部门预算编制范围的只有园林中心本级。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黑体" w:eastAsia="黑体" w:hAnsi="黑体" w:cs="仿宋"/>
          <w:bCs/>
          <w:sz w:val="32"/>
          <w:szCs w:val="32"/>
        </w:rPr>
      </w:pPr>
      <w:r w:rsidRPr="008437E7">
        <w:rPr>
          <w:rFonts w:ascii="黑体" w:eastAsia="黑体" w:hAnsi="黑体" w:cs="仿宋" w:hint="eastAsia"/>
          <w:bCs/>
          <w:sz w:val="32"/>
          <w:szCs w:val="32"/>
        </w:rPr>
        <w:t>三、部门收支总体情况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（一）收入预算：</w:t>
      </w:r>
      <w:r w:rsidRPr="008437E7">
        <w:rPr>
          <w:rFonts w:ascii="仿宋" w:eastAsia="仿宋" w:hAnsi="仿宋" w:cs="仿宋" w:hint="eastAsia"/>
          <w:sz w:val="32"/>
          <w:szCs w:val="32"/>
        </w:rPr>
        <w:t>包括一般公共预算、政府性基金、国有资本经营预算等财政拨款收入，以及经营收入、事业收入</w:t>
      </w:r>
      <w:r w:rsidRPr="008437E7">
        <w:rPr>
          <w:rFonts w:ascii="仿宋" w:eastAsia="仿宋" w:hAnsi="仿宋" w:cs="仿宋" w:hint="eastAsia"/>
          <w:sz w:val="32"/>
          <w:szCs w:val="32"/>
        </w:rPr>
        <w:lastRenderedPageBreak/>
        <w:t>等单位资金</w:t>
      </w:r>
      <w:r w:rsidRPr="008437E7">
        <w:rPr>
          <w:rFonts w:ascii="仿宋" w:eastAsia="仿宋" w:hAnsi="仿宋" w:cs="仿宋" w:hint="eastAsia"/>
          <w:sz w:val="32"/>
          <w:szCs w:val="32"/>
        </w:rPr>
        <w:t>。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年本部门收入预算数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8539.99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万元，其中，一般公共预算拨款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8539.99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万元，政府性基金拨款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万元，纳入专户管理的非税收入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万元，事业单位经营服务收入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</w:t>
      </w:r>
      <w:r w:rsidRPr="008437E7">
        <w:rPr>
          <w:rFonts w:ascii="仿宋" w:eastAsia="仿宋" w:hAnsi="仿宋" w:cs="仿宋" w:hint="eastAsia"/>
          <w:sz w:val="32"/>
          <w:szCs w:val="32"/>
        </w:rPr>
        <w:t>收入较去年增加</w:t>
      </w:r>
      <w:r w:rsidRPr="008437E7">
        <w:rPr>
          <w:rFonts w:ascii="仿宋" w:eastAsia="仿宋" w:hAnsi="仿宋" w:cs="仿宋" w:hint="eastAsia"/>
          <w:sz w:val="32"/>
          <w:szCs w:val="32"/>
        </w:rPr>
        <w:t>2.83</w:t>
      </w:r>
      <w:r w:rsidRPr="008437E7">
        <w:rPr>
          <w:rFonts w:ascii="仿宋" w:eastAsia="仿宋" w:hAnsi="仿宋" w:cs="仿宋" w:hint="eastAsia"/>
          <w:sz w:val="32"/>
          <w:szCs w:val="32"/>
        </w:rPr>
        <w:t>万元，上升</w:t>
      </w:r>
      <w:r w:rsidRPr="008437E7">
        <w:rPr>
          <w:rFonts w:ascii="仿宋" w:eastAsia="仿宋" w:hAnsi="仿宋" w:cs="仿宋" w:hint="eastAsia"/>
          <w:sz w:val="32"/>
          <w:szCs w:val="32"/>
        </w:rPr>
        <w:t>0.03%</w:t>
      </w:r>
      <w:r w:rsidRPr="008437E7">
        <w:rPr>
          <w:rFonts w:ascii="仿宋" w:eastAsia="仿宋" w:hAnsi="仿宋" w:cs="仿宋" w:hint="eastAsia"/>
          <w:sz w:val="32"/>
          <w:szCs w:val="32"/>
        </w:rPr>
        <w:t>，</w:t>
      </w:r>
      <w:r w:rsidRPr="008437E7">
        <w:rPr>
          <w:rFonts w:ascii="仿宋" w:eastAsia="仿宋" w:hAnsi="仿宋" w:cs="仿宋" w:hint="eastAsia"/>
          <w:sz w:val="32"/>
          <w:szCs w:val="32"/>
        </w:rPr>
        <w:t>主要是</w:t>
      </w:r>
      <w:r w:rsidRPr="008437E7">
        <w:rPr>
          <w:rFonts w:ascii="仿宋" w:eastAsia="仿宋" w:hAnsi="仿宋" w:cs="仿宋" w:hint="eastAsia"/>
          <w:sz w:val="32"/>
          <w:szCs w:val="32"/>
        </w:rPr>
        <w:t>各类人员经费中工资和福利支出有小幅增加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（二）支出预算：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年支出预算数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8539.99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其中，社会保障和就业支出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185.84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万元，城乡社区支出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8211.82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万元，住房保障支出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142.33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。本年支出预算数比上年增加了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2.83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上升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0.03%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。支出增加的主要原因是：</w:t>
      </w:r>
      <w:r w:rsidRPr="008437E7">
        <w:rPr>
          <w:rFonts w:ascii="仿宋" w:eastAsia="仿宋" w:hAnsi="仿宋" w:cs="仿宋" w:hint="eastAsia"/>
          <w:sz w:val="32"/>
          <w:szCs w:val="32"/>
        </w:rPr>
        <w:t>各类人员经费中工资和福利支出有小幅增加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黑体" w:eastAsia="黑体" w:hAnsi="黑体" w:cs="仿宋"/>
          <w:bCs/>
          <w:sz w:val="32"/>
          <w:szCs w:val="32"/>
        </w:rPr>
      </w:pPr>
      <w:r w:rsidRPr="008437E7">
        <w:rPr>
          <w:rFonts w:ascii="黑体" w:eastAsia="黑体" w:hAnsi="黑体" w:cs="仿宋" w:hint="eastAsia"/>
          <w:bCs/>
          <w:sz w:val="32"/>
          <w:szCs w:val="32"/>
        </w:rPr>
        <w:t>四、一般公共预算拨款支出预算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黑体" w:eastAsia="黑体" w:hAnsi="黑体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sz w:val="32"/>
          <w:szCs w:val="32"/>
        </w:rPr>
        <w:t>年本部门一般公共预算拨款支出预算</w:t>
      </w:r>
      <w:r w:rsidRPr="008437E7">
        <w:rPr>
          <w:rFonts w:ascii="仿宋" w:eastAsia="仿宋" w:hAnsi="仿宋" w:cs="仿宋" w:hint="eastAsia"/>
          <w:sz w:val="32"/>
          <w:szCs w:val="32"/>
        </w:rPr>
        <w:t>8539.99</w:t>
      </w:r>
      <w:r w:rsidRPr="008437E7">
        <w:rPr>
          <w:rFonts w:ascii="仿宋" w:eastAsia="仿宋" w:hAnsi="仿宋" w:cs="仿宋" w:hint="eastAsia"/>
          <w:sz w:val="32"/>
          <w:szCs w:val="32"/>
        </w:rPr>
        <w:t>万元，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其中，社会保障和就业支出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185.84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万元，占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2.17%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;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城乡社区支出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8211.82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万元，占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96.16%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;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住房保障支出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142.33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万元，占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1.67%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</w:t>
      </w:r>
      <w:r w:rsidRPr="008437E7">
        <w:rPr>
          <w:rFonts w:ascii="仿宋" w:eastAsia="仿宋" w:hAnsi="仿宋" w:cs="仿宋" w:hint="eastAsia"/>
          <w:sz w:val="32"/>
          <w:szCs w:val="32"/>
        </w:rPr>
        <w:t>具体安排情</w:t>
      </w:r>
      <w:r w:rsidRPr="008437E7">
        <w:rPr>
          <w:rFonts w:ascii="仿宋" w:eastAsia="仿宋" w:hAnsi="仿宋" w:cs="仿宋" w:hint="eastAsia"/>
          <w:sz w:val="32"/>
          <w:szCs w:val="32"/>
        </w:rPr>
        <w:t>况如下：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="42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（一）基本支出：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年预算数为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5099.04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="42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bCs/>
          <w:sz w:val="32"/>
          <w:szCs w:val="32"/>
        </w:rPr>
        <w:t>（二）项目支出：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年预算数为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3440.95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万元，是指单位为完成特定行政工作任务或事业发展目标而发生的支出，其中：日常维护成本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1292.4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万元，主要用于开福区园林绿化维护作业的精细化、全域化以及长效化的管理。将全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lastRenderedPageBreak/>
        <w:t>区公共维护绿地划分为湘江风光带、月湖公园、社区公园、秀峰公园、青竹湖片区，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5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个公园管理办公室，以公园办本部为依托，辐射周边主次干道、街道社区，各公园办按权属区域进行日常维护管理的经费；季节性用工及设备租赁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50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万元，用于应急性任务工作中解决人员及设备不足的问题经费；草花种植及摆花经费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386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万元，用于道路草花种植及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节日、会议大型检查摆花；市场维护外包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1347.55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万元，用于湘江风光带、月湖公园以及浏阳河风光带的维护范围内的保洁维护；设备运转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万元，用于维护专用车、园林工具、机械用油、维修保养维护、保险费用</w:t>
      </w:r>
      <w:r w:rsidR="008437E7">
        <w:rPr>
          <w:rFonts w:ascii="仿宋" w:eastAsia="仿宋" w:hAnsi="仿宋" w:cs="仿宋" w:hint="eastAsia"/>
          <w:bCs/>
          <w:sz w:val="32"/>
          <w:szCs w:val="32"/>
        </w:rPr>
        <w:t>;</w:t>
      </w:r>
      <w:r w:rsidR="008437E7" w:rsidRPr="008437E7">
        <w:rPr>
          <w:rFonts w:ascii="仿宋" w:eastAsia="仿宋" w:hAnsi="仿宋" w:cs="仿宋"/>
          <w:bCs/>
          <w:sz w:val="32"/>
          <w:szCs w:val="32"/>
        </w:rPr>
        <w:t>非税水电100万元；考核经费50万元；水电费15万元。</w:t>
      </w:r>
    </w:p>
    <w:p w:rsidR="00F15B2A" w:rsidRPr="008437E7" w:rsidRDefault="009621FC">
      <w:pPr>
        <w:widowControl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8437E7">
        <w:rPr>
          <w:rFonts w:eastAsia="黑体"/>
          <w:sz w:val="32"/>
          <w:szCs w:val="32"/>
        </w:rPr>
        <w:t>五、政府性基金预算支出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8437E7">
        <w:rPr>
          <w:rFonts w:eastAsia="仿宋_GB2312"/>
          <w:sz w:val="32"/>
          <w:szCs w:val="32"/>
        </w:rPr>
        <w:t>本部门无政府性基金安排的支出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黑体" w:eastAsia="黑体" w:hAnsi="黑体" w:cs="仿宋"/>
          <w:bCs/>
          <w:sz w:val="32"/>
          <w:szCs w:val="32"/>
        </w:rPr>
      </w:pPr>
      <w:r w:rsidRPr="008437E7">
        <w:rPr>
          <w:rFonts w:ascii="黑体" w:eastAsia="黑体" w:hAnsi="黑体" w:cs="仿宋" w:hint="eastAsia"/>
          <w:bCs/>
          <w:sz w:val="32"/>
          <w:szCs w:val="32"/>
        </w:rPr>
        <w:t>六、其他重要事项的情况说明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（一）机关运行经费：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年全中心机关运行经费财政拨款预算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173.67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比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年预算增加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24.79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万元，增长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16.65%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。主要原因是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年公用经费中新增加交通补贴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38.72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万元，实际在职人数减少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人，公用经费减少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（二）“三公”经费预算：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年“三公”经费预算数为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万元，其中，公务接待费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万元，公务用车购置及运行费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万元（其中，公务用车购置费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万元，公务用车运行费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万元），因公出国（境）费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万元。</w:t>
      </w:r>
      <w:r w:rsidRPr="008437E7">
        <w:rPr>
          <w:rFonts w:ascii="仿宋" w:eastAsia="仿宋" w:hAnsi="仿宋" w:cs="仿宋" w:hint="eastAsia"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sz w:val="32"/>
          <w:szCs w:val="32"/>
        </w:rPr>
        <w:t>年“三公”经费</w:t>
      </w:r>
      <w:r w:rsidRPr="008437E7">
        <w:rPr>
          <w:rFonts w:ascii="仿宋" w:eastAsia="仿宋" w:hAnsi="仿宋" w:cs="仿宋" w:hint="eastAsia"/>
          <w:sz w:val="32"/>
          <w:szCs w:val="32"/>
        </w:rPr>
        <w:lastRenderedPageBreak/>
        <w:t>预算较</w:t>
      </w:r>
      <w:r w:rsidRPr="008437E7">
        <w:rPr>
          <w:rFonts w:ascii="仿宋" w:eastAsia="仿宋" w:hAnsi="仿宋" w:cs="仿宋" w:hint="eastAsia"/>
          <w:sz w:val="32"/>
          <w:szCs w:val="32"/>
        </w:rPr>
        <w:t>2020</w:t>
      </w:r>
      <w:r w:rsidRPr="008437E7">
        <w:rPr>
          <w:rFonts w:ascii="仿宋" w:eastAsia="仿宋" w:hAnsi="仿宋" w:cs="仿宋" w:hint="eastAsia"/>
          <w:sz w:val="32"/>
          <w:szCs w:val="32"/>
        </w:rPr>
        <w:t>年减少</w:t>
      </w:r>
      <w:r w:rsidRPr="008437E7">
        <w:rPr>
          <w:rFonts w:ascii="仿宋" w:eastAsia="仿宋" w:hAnsi="仿宋" w:cs="仿宋" w:hint="eastAsia"/>
          <w:sz w:val="32"/>
          <w:szCs w:val="32"/>
        </w:rPr>
        <w:t>9.6</w:t>
      </w:r>
      <w:r w:rsidRPr="008437E7">
        <w:rPr>
          <w:rFonts w:ascii="仿宋" w:eastAsia="仿宋" w:hAnsi="仿宋" w:cs="仿宋" w:hint="eastAsia"/>
          <w:sz w:val="32"/>
          <w:szCs w:val="32"/>
        </w:rPr>
        <w:t>万元</w:t>
      </w:r>
      <w:r w:rsidRPr="008437E7">
        <w:rPr>
          <w:rFonts w:ascii="仿宋" w:eastAsia="仿宋" w:hAnsi="仿宋" w:cs="仿宋" w:hint="eastAsia"/>
          <w:sz w:val="32"/>
          <w:szCs w:val="32"/>
        </w:rPr>
        <w:t>，主要是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年“三公”经费预算无，因财政收回公务车辆。</w:t>
      </w:r>
    </w:p>
    <w:p w:rsidR="00F15B2A" w:rsidRPr="008437E7" w:rsidRDefault="009621FC">
      <w:pPr>
        <w:widowControl/>
        <w:spacing w:line="60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r w:rsidRPr="008437E7">
        <w:rPr>
          <w:rFonts w:ascii="仿宋" w:eastAsia="仿宋" w:hAnsi="仿宋" w:cs="仿宋" w:hint="eastAsia"/>
          <w:b/>
          <w:sz w:val="32"/>
          <w:szCs w:val="32"/>
        </w:rPr>
        <w:t>（三）一般性支出情况：</w:t>
      </w:r>
      <w:r w:rsidRPr="008437E7">
        <w:rPr>
          <w:rFonts w:ascii="仿宋" w:eastAsia="仿宋" w:hAnsi="仿宋" w:cs="仿宋" w:hint="eastAsia"/>
          <w:b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年本部门会议费预算</w:t>
      </w:r>
      <w:r w:rsidRPr="008437E7">
        <w:rPr>
          <w:rFonts w:ascii="仿宋" w:eastAsia="仿宋" w:hAnsi="仿宋" w:cs="仿宋" w:hint="eastAsia"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；培训费预算</w:t>
      </w:r>
      <w:r w:rsidRPr="008437E7">
        <w:rPr>
          <w:rFonts w:ascii="仿宋" w:eastAsia="仿宋" w:hAnsi="仿宋" w:cs="仿宋" w:hint="eastAsia"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未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举办节庆、晚会、论坛、赛事活动，经费预算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kern w:val="0"/>
          <w:sz w:val="32"/>
          <w:szCs w:val="32"/>
        </w:rPr>
        <w:t>万元。</w:t>
      </w:r>
    </w:p>
    <w:bookmarkEnd w:id="0"/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（四）政府采购情况：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年园林中心政府采购预算总额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3522.49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万元，其中：政府采购货物预算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3522.49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万元，政府采购工程预算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万元、政府采购服务预算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sz w:val="32"/>
          <w:szCs w:val="32"/>
        </w:rPr>
        <w:t>（五）国有资产占用使用及新增资产配置情况：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设备数量：共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62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台车辆，其中一般执法执勤用车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辆、特种专业技术用车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辆、其他用车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辆，其他用车主要是日常绿化维护作业车辆；单价价值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50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万元以上通用设备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台（套），单价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100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万元以上专用设备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台（辆）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。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年拟新增配置公务用车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辆，其中，机要通信用车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辆，应急保障用车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辆，执法执勤用车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辆，特种专业技术用车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辆，其他按照规定配备的公务用车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辆；新增配备单位价值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50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万元以上通用设备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台，单位价值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100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万元以上专用设备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0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台。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3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/>
          <w:bCs/>
          <w:sz w:val="32"/>
          <w:szCs w:val="32"/>
        </w:rPr>
        <w:t>（六）预算绩效目标说明：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本部门所有支出实行绩效目标管理。纳入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年部门整体支出绩效目标的金额为</w:t>
      </w:r>
      <w:r w:rsidRPr="008437E7">
        <w:rPr>
          <w:rFonts w:ascii="仿宋" w:eastAsia="仿宋" w:hAnsi="仿宋" w:cs="仿宋"/>
          <w:sz w:val="32"/>
          <w:szCs w:val="32"/>
        </w:rPr>
        <w:t>8539.99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万元，其中，基本支出</w:t>
      </w:r>
      <w:r w:rsidRPr="008437E7">
        <w:rPr>
          <w:rFonts w:ascii="仿宋" w:eastAsia="仿宋" w:hAnsi="仿宋" w:cs="仿宋"/>
          <w:sz w:val="32"/>
          <w:szCs w:val="32"/>
        </w:rPr>
        <w:t>5099.04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万元，项目支出</w:t>
      </w:r>
      <w:r w:rsidRPr="008437E7">
        <w:rPr>
          <w:rFonts w:ascii="仿宋" w:eastAsia="仿宋" w:hAnsi="仿宋" w:cs="仿宋"/>
          <w:sz w:val="32"/>
          <w:szCs w:val="32"/>
        </w:rPr>
        <w:t>3440.95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万元，具体绩效目标详见报表。</w:t>
      </w:r>
    </w:p>
    <w:p w:rsidR="00F15B2A" w:rsidRPr="008437E7" w:rsidRDefault="009621FC">
      <w:pPr>
        <w:widowControl/>
        <w:spacing w:line="600" w:lineRule="exact"/>
        <w:ind w:firstLine="6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8437E7">
        <w:rPr>
          <w:rFonts w:ascii="黑体" w:eastAsia="黑体" w:hAnsi="黑体" w:cs="仿宋" w:hint="eastAsia"/>
          <w:bCs/>
          <w:sz w:val="32"/>
          <w:szCs w:val="32"/>
        </w:rPr>
        <w:t>七、名词解释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lastRenderedPageBreak/>
        <w:t>（一）一般公共预算拨款收入：指开福区财政当年拨付的资金。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（二）基本支出：指为保障机构正常运转、完成日常工作任务而发生的人员支出和公用支出。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（三）项目支出：指在基本支出之外为完</w:t>
      </w:r>
      <w:r w:rsidRPr="008437E7">
        <w:rPr>
          <w:rFonts w:ascii="仿宋" w:eastAsia="仿宋" w:hAnsi="仿宋" w:cs="仿宋" w:hint="eastAsia"/>
          <w:bCs/>
          <w:sz w:val="32"/>
          <w:szCs w:val="32"/>
        </w:rPr>
        <w:t>成特定行政任务和事业发展目标所发生的支出。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（四）“三公”经费：纳入开福区财政预决算管理的“三公”经费，是指开福区部门用财政拨款安排的因公出国（境）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 w:rsidR="00F15B2A" w:rsidRPr="008437E7" w:rsidRDefault="009621FC">
      <w:pPr>
        <w:pStyle w:val="a5"/>
        <w:widowControl/>
        <w:spacing w:before="24" w:beforeAutospacing="0" w:after="24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437E7">
        <w:rPr>
          <w:rFonts w:ascii="仿宋" w:eastAsia="仿宋" w:hAnsi="仿宋" w:cs="仿宋" w:hint="eastAsia"/>
          <w:bCs/>
          <w:sz w:val="32"/>
          <w:szCs w:val="32"/>
        </w:rPr>
        <w:t>（五）机关运行经费：为保障行政单位（包括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F15B2A" w:rsidRPr="008437E7" w:rsidRDefault="00F15B2A">
      <w:pPr>
        <w:spacing w:line="600" w:lineRule="exact"/>
        <w:rPr>
          <w:rFonts w:ascii="仿宋" w:eastAsia="仿宋" w:hAnsi="仿宋" w:cs="仿宋"/>
          <w:bCs/>
          <w:kern w:val="0"/>
          <w:sz w:val="32"/>
          <w:szCs w:val="32"/>
        </w:rPr>
      </w:pPr>
    </w:p>
    <w:p w:rsidR="00F15B2A" w:rsidRPr="008437E7" w:rsidRDefault="009621FC">
      <w:pPr>
        <w:widowControl/>
        <w:spacing w:line="600" w:lineRule="exact"/>
        <w:ind w:firstLineChars="200" w:firstLine="883"/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 w:rsidRPr="008437E7">
        <w:rPr>
          <w:rFonts w:ascii="黑体" w:eastAsia="黑体" w:hAnsi="黑体" w:cs="黑体" w:hint="eastAsia"/>
          <w:b/>
          <w:kern w:val="0"/>
          <w:sz w:val="44"/>
          <w:szCs w:val="44"/>
        </w:rPr>
        <w:t>第二部分</w:t>
      </w:r>
      <w:r w:rsidRPr="008437E7">
        <w:rPr>
          <w:rFonts w:ascii="黑体" w:eastAsia="黑体" w:hAnsi="黑体" w:cs="黑体" w:hint="eastAsia"/>
          <w:b/>
          <w:kern w:val="0"/>
          <w:sz w:val="44"/>
          <w:szCs w:val="44"/>
        </w:rPr>
        <w:t xml:space="preserve"> 2021</w:t>
      </w:r>
      <w:r w:rsidRPr="008437E7">
        <w:rPr>
          <w:rFonts w:ascii="黑体" w:eastAsia="黑体" w:hAnsi="黑体" w:cs="黑体" w:hint="eastAsia"/>
          <w:b/>
          <w:kern w:val="0"/>
          <w:sz w:val="44"/>
          <w:szCs w:val="44"/>
        </w:rPr>
        <w:t>年部门预算表</w:t>
      </w:r>
    </w:p>
    <w:p w:rsidR="00F15B2A" w:rsidRPr="008437E7" w:rsidRDefault="00F15B2A">
      <w:pPr>
        <w:rPr>
          <w:rFonts w:ascii="仿宋" w:eastAsia="仿宋" w:hAnsi="仿宋" w:cs="仿宋"/>
          <w:bCs/>
          <w:kern w:val="0"/>
          <w:sz w:val="32"/>
          <w:szCs w:val="32"/>
        </w:rPr>
      </w:pPr>
    </w:p>
    <w:sectPr w:rsidR="00F15B2A" w:rsidRPr="008437E7" w:rsidSect="00F1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FC" w:rsidRDefault="009621FC" w:rsidP="008437E7">
      <w:r>
        <w:separator/>
      </w:r>
    </w:p>
  </w:endnote>
  <w:endnote w:type="continuationSeparator" w:id="1">
    <w:p w:rsidR="009621FC" w:rsidRDefault="009621FC" w:rsidP="0084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FC" w:rsidRDefault="009621FC" w:rsidP="008437E7">
      <w:r>
        <w:separator/>
      </w:r>
    </w:p>
  </w:footnote>
  <w:footnote w:type="continuationSeparator" w:id="1">
    <w:p w:rsidR="009621FC" w:rsidRDefault="009621FC" w:rsidP="0084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957C"/>
    <w:multiLevelType w:val="singleLevel"/>
    <w:tmpl w:val="19A0957C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JkZmVlZWE1YThmOTUxYzdmMmU4OWMyMmJiMWY5ZTgifQ=="/>
  </w:docVars>
  <w:rsids>
    <w:rsidRoot w:val="68321974"/>
    <w:rsid w:val="00351D72"/>
    <w:rsid w:val="00524DE9"/>
    <w:rsid w:val="008437E7"/>
    <w:rsid w:val="00870CE0"/>
    <w:rsid w:val="009621FC"/>
    <w:rsid w:val="00A60396"/>
    <w:rsid w:val="00AC4F34"/>
    <w:rsid w:val="00F15B2A"/>
    <w:rsid w:val="1A1B4121"/>
    <w:rsid w:val="1BA40C9E"/>
    <w:rsid w:val="1BAB08FD"/>
    <w:rsid w:val="42BC3EF0"/>
    <w:rsid w:val="4A791606"/>
    <w:rsid w:val="67BC3027"/>
    <w:rsid w:val="6832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B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F15B2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1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15B2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F15B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15B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燕子</dc:creator>
  <cp:lastModifiedBy>AutoBVT</cp:lastModifiedBy>
  <cp:revision>2</cp:revision>
  <dcterms:created xsi:type="dcterms:W3CDTF">2022-08-19T03:18:00Z</dcterms:created>
  <dcterms:modified xsi:type="dcterms:W3CDTF">2022-08-19T03:18:00Z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AAFCBF66F0654C26AB65D16EF102C58E</vt:lpwstr>
  </property>
</Properties>
</file>