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仿宋" w:hAnsi="仿宋" w:eastAsia="仿宋" w:cs="仿宋"/>
          <w:b/>
          <w:bCs/>
          <w:kern w:val="0"/>
          <w:sz w:val="48"/>
          <w:szCs w:val="48"/>
          <w:lang w:val="en-US" w:eastAsia="zh-CN"/>
        </w:rPr>
      </w:pPr>
      <w:r>
        <w:rPr>
          <w:rFonts w:hint="eastAsia" w:ascii="仿宋" w:hAnsi="仿宋" w:eastAsia="仿宋" w:cs="仿宋"/>
          <w:b/>
          <w:bCs/>
          <w:kern w:val="0"/>
          <w:sz w:val="48"/>
          <w:szCs w:val="48"/>
          <w:lang w:val="en-US" w:eastAsia="zh-CN"/>
        </w:rPr>
        <w:t>2021</w:t>
      </w:r>
      <w:r>
        <w:rPr>
          <w:rFonts w:hint="eastAsia" w:ascii="仿宋" w:hAnsi="仿宋" w:eastAsia="仿宋" w:cs="仿宋"/>
          <w:b/>
          <w:bCs/>
          <w:kern w:val="0"/>
          <w:sz w:val="48"/>
          <w:szCs w:val="48"/>
        </w:rPr>
        <w:t>年</w:t>
      </w:r>
      <w:r>
        <w:rPr>
          <w:rFonts w:hint="default" w:ascii="仿宋" w:hAnsi="仿宋" w:eastAsia="仿宋" w:cs="仿宋"/>
          <w:b/>
          <w:bCs/>
          <w:kern w:val="0"/>
          <w:sz w:val="48"/>
          <w:szCs w:val="48"/>
          <w:lang w:val="en-US" w:eastAsia="zh-CN"/>
        </w:rPr>
        <w:t>长沙市开福区现代服务业发展中心</w:t>
      </w:r>
      <w:r>
        <w:rPr>
          <w:rFonts w:hint="eastAsia" w:ascii="仿宋" w:hAnsi="仿宋" w:eastAsia="仿宋" w:cs="仿宋"/>
          <w:b/>
          <w:bCs/>
          <w:kern w:val="0"/>
          <w:sz w:val="48"/>
          <w:szCs w:val="48"/>
          <w:lang w:val="en-US" w:eastAsia="zh-CN"/>
        </w:rPr>
        <w:t>部门</w:t>
      </w:r>
      <w:r>
        <w:rPr>
          <w:rFonts w:hint="default" w:ascii="仿宋" w:hAnsi="仿宋" w:eastAsia="仿宋" w:cs="仿宋"/>
          <w:b/>
          <w:bCs/>
          <w:kern w:val="0"/>
          <w:sz w:val="48"/>
          <w:szCs w:val="48"/>
          <w:lang w:val="en-US" w:eastAsia="zh-CN"/>
        </w:rPr>
        <w:t>预算</w:t>
      </w:r>
    </w:p>
    <w:p>
      <w:pPr>
        <w:keepNext w:val="0"/>
        <w:keepLines w:val="0"/>
        <w:pageBreakBefore w:val="0"/>
        <w:kinsoku/>
        <w:wordWrap/>
        <w:overflowPunct/>
        <w:topLinePunct w:val="0"/>
        <w:autoSpaceDE/>
        <w:autoSpaceDN/>
        <w:bidi w:val="0"/>
        <w:adjustRightInd/>
        <w:snapToGrid/>
        <w:spacing w:line="600" w:lineRule="exact"/>
        <w:textAlignment w:val="auto"/>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黑体"/>
          <w:bCs/>
          <w:kern w:val="0"/>
          <w:sz w:val="32"/>
          <w:szCs w:val="32"/>
        </w:rPr>
      </w:pPr>
      <w:r>
        <w:rPr>
          <w:rFonts w:eastAsia="黑体"/>
          <w:bCs/>
          <w:kern w:val="0"/>
          <w:sz w:val="32"/>
          <w:szCs w:val="32"/>
        </w:rPr>
        <w:t>目 录</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2021年部门预算说明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一、部门基本概况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二、部门预算单位构成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三、部门收支总体情况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四、一般公共预算拨款支出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五、政府性基金预算支出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六、其他重要事项的情况说明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七、名词解释</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textAlignment w:val="auto"/>
        <w:rPr>
          <w:rFonts w:eastAsia="仿宋_GB2312"/>
          <w:b/>
          <w:bCs/>
          <w:kern w:val="0"/>
          <w:sz w:val="32"/>
          <w:szCs w:val="32"/>
        </w:rPr>
      </w:pPr>
      <w:r>
        <w:rPr>
          <w:rFonts w:hint="eastAsia" w:ascii="黑体" w:hAnsi="黑体" w:eastAsia="黑体" w:cs="黑体"/>
          <w:b/>
          <w:bCs/>
          <w:kern w:val="0"/>
          <w:sz w:val="32"/>
          <w:szCs w:val="32"/>
        </w:rPr>
        <w:t>第二部分 2021年部门预算表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1、部门收支总表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2、部门收入总表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3、部门支出总表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4、财政拨款收支</w:t>
      </w:r>
      <w:r>
        <w:rPr>
          <w:rFonts w:hint="eastAsia" w:ascii="仿宋" w:hAnsi="仿宋" w:eastAsia="仿宋" w:cs="仿宋"/>
          <w:sz w:val="32"/>
          <w:szCs w:val="32"/>
          <w:lang w:val="en-US" w:eastAsia="zh-CN"/>
        </w:rPr>
        <w:t>总</w:t>
      </w:r>
      <w:r>
        <w:rPr>
          <w:rFonts w:hint="eastAsia" w:ascii="仿宋" w:hAnsi="仿宋" w:eastAsia="仿宋" w:cs="仿宋"/>
          <w:sz w:val="32"/>
          <w:szCs w:val="32"/>
        </w:rPr>
        <w:t>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5、一般公共预算支出表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6、一般公共预算基本支出表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7、一般公共预算“三公”经费支出表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8、政府性基金预算支出表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9、</w:t>
      </w:r>
      <w:r>
        <w:rPr>
          <w:rFonts w:hint="eastAsia" w:ascii="仿宋" w:hAnsi="仿宋" w:eastAsia="仿宋" w:cs="仿宋"/>
          <w:sz w:val="32"/>
          <w:szCs w:val="32"/>
          <w:highlight w:val="none"/>
        </w:rPr>
        <w:t>国有资本经营预算支出表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10、</w:t>
      </w:r>
      <w:r>
        <w:rPr>
          <w:rFonts w:hint="eastAsia" w:ascii="仿宋" w:hAnsi="仿宋" w:eastAsia="仿宋" w:cs="仿宋"/>
          <w:sz w:val="32"/>
          <w:szCs w:val="32"/>
          <w:highlight w:val="none"/>
        </w:rPr>
        <w:t>项目支出绩效目标表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11、</w:t>
      </w:r>
      <w:r>
        <w:rPr>
          <w:rFonts w:hint="eastAsia" w:ascii="仿宋" w:hAnsi="仿宋" w:eastAsia="仿宋" w:cs="仿宋"/>
          <w:sz w:val="32"/>
          <w:szCs w:val="32"/>
          <w:highlight w:val="none"/>
        </w:rPr>
        <w:t>整体支出绩效目标表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注：以上部门预算报表中，空表表示本部门无相关收支情况。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Cs/>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Cs/>
          <w:kern w:val="0"/>
          <w:sz w:val="32"/>
          <w:szCs w:val="32"/>
        </w:rPr>
      </w:pPr>
    </w:p>
    <w:p>
      <w:pPr>
        <w:keepNext w:val="0"/>
        <w:keepLines w:val="0"/>
        <w:pageBreakBefore w:val="0"/>
        <w:widowControl/>
        <w:numPr>
          <w:ilvl w:val="0"/>
          <w:numId w:val="2"/>
        </w:numPr>
        <w:kinsoku/>
        <w:wordWrap/>
        <w:overflowPunct/>
        <w:topLinePunct w:val="0"/>
        <w:autoSpaceDE/>
        <w:autoSpaceDN/>
        <w:bidi w:val="0"/>
        <w:adjustRightInd/>
        <w:snapToGrid/>
        <w:spacing w:line="600" w:lineRule="exact"/>
        <w:jc w:val="center"/>
        <w:textAlignment w:val="auto"/>
        <w:rPr>
          <w:rFonts w:hint="eastAsia" w:ascii="黑体" w:hAnsi="黑体" w:eastAsia="黑体" w:cs="黑体"/>
          <w:b/>
          <w:bCs w:val="0"/>
          <w:kern w:val="0"/>
          <w:sz w:val="44"/>
          <w:szCs w:val="44"/>
        </w:rPr>
      </w:pPr>
      <w:r>
        <w:rPr>
          <w:rFonts w:hint="eastAsia" w:ascii="黑体" w:hAnsi="黑体" w:eastAsia="黑体" w:cs="黑体"/>
          <w:b/>
          <w:bCs w:val="0"/>
          <w:kern w:val="0"/>
          <w:sz w:val="44"/>
          <w:szCs w:val="44"/>
          <w:lang w:val="en-US" w:eastAsia="zh-CN"/>
        </w:rPr>
        <w:t>2021年</w:t>
      </w:r>
      <w:r>
        <w:rPr>
          <w:rFonts w:hint="eastAsia" w:ascii="黑体" w:hAnsi="黑体" w:eastAsia="黑体" w:cs="黑体"/>
          <w:b/>
          <w:bCs w:val="0"/>
          <w:kern w:val="0"/>
          <w:sz w:val="44"/>
          <w:szCs w:val="44"/>
        </w:rPr>
        <w:t>部门预算说明</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both"/>
        <w:textAlignment w:val="auto"/>
        <w:rPr>
          <w:rFonts w:hint="eastAsia" w:ascii="黑体" w:hAnsi="黑体" w:eastAsia="黑体" w:cs="黑体"/>
          <w:b/>
          <w:bCs w:val="0"/>
          <w:kern w:val="0"/>
          <w:sz w:val="44"/>
          <w:szCs w:val="4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 w:beforeAutospacing="0" w:after="24" w:afterAutospacing="0" w:line="600" w:lineRule="exact"/>
        <w:ind w:right="0" w:firstLine="640" w:firstLineChars="200"/>
        <w:jc w:val="both"/>
        <w:textAlignment w:val="auto"/>
        <w:rPr>
          <w:rFonts w:hint="eastAsia" w:ascii="黑体" w:hAnsi="黑体" w:eastAsia="黑体" w:cs="黑体"/>
          <w:kern w:val="2"/>
          <w:sz w:val="32"/>
          <w:szCs w:val="32"/>
          <w:highlight w:val="none"/>
          <w:lang w:val="en-US" w:eastAsia="zh-CN" w:bidi="ar-SA"/>
        </w:rPr>
      </w:pPr>
      <w:r>
        <w:rPr>
          <w:rFonts w:hint="eastAsia" w:ascii="黑体" w:hAnsi="黑体" w:eastAsia="黑体" w:cs="黑体"/>
          <w:kern w:val="2"/>
          <w:sz w:val="32"/>
          <w:szCs w:val="32"/>
          <w:highlight w:val="none"/>
          <w:lang w:val="en-US" w:eastAsia="zh-CN" w:bidi="ar-SA"/>
        </w:rPr>
        <w:t>一、部门基本概况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 w:beforeAutospacing="0" w:after="24" w:afterAutospacing="0" w:line="600" w:lineRule="exact"/>
        <w:ind w:right="0" w:firstLine="643" w:firstLineChars="200"/>
        <w:jc w:val="both"/>
        <w:textAlignment w:val="auto"/>
        <w:rPr>
          <w:rFonts w:hint="eastAsia" w:ascii="仿宋" w:hAnsi="仿宋" w:eastAsia="仿宋" w:cs="仿宋"/>
          <w:kern w:val="2"/>
          <w:sz w:val="32"/>
          <w:szCs w:val="32"/>
          <w:highlight w:val="none"/>
          <w:lang w:val="en-US" w:eastAsia="zh-CN" w:bidi="ar-SA"/>
        </w:rPr>
      </w:pPr>
      <w:r>
        <w:rPr>
          <w:rFonts w:hint="eastAsia" w:ascii="仿宋" w:hAnsi="仿宋" w:eastAsia="仿宋" w:cs="仿宋"/>
          <w:b/>
          <w:bCs/>
          <w:kern w:val="2"/>
          <w:sz w:val="32"/>
          <w:szCs w:val="32"/>
          <w:highlight w:val="none"/>
          <w:lang w:val="en-US" w:eastAsia="zh-CN" w:bidi="ar-SA"/>
        </w:rPr>
        <w:t>1、职能职责：</w:t>
      </w:r>
      <w:r>
        <w:rPr>
          <w:rFonts w:hint="eastAsia" w:ascii="仿宋" w:hAnsi="仿宋" w:eastAsia="仿宋" w:cs="仿宋"/>
          <w:kern w:val="2"/>
          <w:sz w:val="32"/>
          <w:szCs w:val="32"/>
          <w:highlight w:val="none"/>
          <w:lang w:val="en-US" w:eastAsia="zh-CN" w:bidi="ar-SA"/>
        </w:rPr>
        <w:t>本部门主要职责是引导重点楼宇产业定位，协助楼宇二次招商，“楼宇网络信息平台”数据收集、录入、整理、分析，全区现代服务业企业招商进驻后的管理和服务。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 w:beforeAutospacing="0" w:after="24" w:afterAutospacing="0" w:line="600" w:lineRule="exact"/>
        <w:ind w:right="0" w:firstLine="643" w:firstLineChars="200"/>
        <w:jc w:val="both"/>
        <w:textAlignment w:val="auto"/>
        <w:rPr>
          <w:rFonts w:hint="eastAsia" w:ascii="仿宋" w:hAnsi="仿宋" w:eastAsia="仿宋" w:cs="仿宋"/>
          <w:kern w:val="2"/>
          <w:sz w:val="32"/>
          <w:szCs w:val="32"/>
          <w:highlight w:val="none"/>
          <w:lang w:val="en-US" w:eastAsia="zh-CN" w:bidi="ar-SA"/>
        </w:rPr>
      </w:pPr>
      <w:r>
        <w:rPr>
          <w:rFonts w:hint="eastAsia" w:ascii="仿宋" w:hAnsi="仿宋" w:eastAsia="仿宋" w:cs="仿宋"/>
          <w:b/>
          <w:bCs/>
          <w:kern w:val="2"/>
          <w:sz w:val="32"/>
          <w:szCs w:val="32"/>
          <w:highlight w:val="none"/>
          <w:lang w:val="en-US" w:eastAsia="zh-CN" w:bidi="ar-SA"/>
        </w:rPr>
        <w:t>2、机构设置：</w:t>
      </w:r>
      <w:r>
        <w:rPr>
          <w:rFonts w:hint="eastAsia" w:ascii="仿宋" w:hAnsi="仿宋" w:eastAsia="仿宋" w:cs="仿宋"/>
          <w:kern w:val="2"/>
          <w:sz w:val="32"/>
          <w:szCs w:val="32"/>
          <w:highlight w:val="none"/>
          <w:lang w:val="en-US" w:eastAsia="zh-CN" w:bidi="ar-SA"/>
        </w:rPr>
        <w:t>本部门由长沙市开福区现代服务业发展中心本级1个事业单位及0个二级机构组成，本级单位内设综合科、产业服务科、产业发展科三个科室。本部门编制数8人，在职人数8人，其中：在岗人数8人；编外长期聘用人员4人；离退休人数0人，其中离休人员0人，退休人员0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 w:beforeAutospacing="0" w:after="24" w:afterAutospacing="0" w:line="600" w:lineRule="exact"/>
        <w:ind w:right="0" w:firstLine="640" w:firstLineChars="200"/>
        <w:jc w:val="both"/>
        <w:textAlignment w:val="auto"/>
        <w:rPr>
          <w:rFonts w:hint="eastAsia" w:ascii="黑体" w:hAnsi="黑体" w:eastAsia="黑体" w:cs="黑体"/>
          <w:kern w:val="2"/>
          <w:sz w:val="32"/>
          <w:szCs w:val="32"/>
          <w:highlight w:val="none"/>
          <w:lang w:val="en-US" w:eastAsia="zh-CN" w:bidi="ar-SA"/>
        </w:rPr>
      </w:pPr>
      <w:r>
        <w:rPr>
          <w:rFonts w:hint="eastAsia" w:ascii="黑体" w:hAnsi="黑体" w:eastAsia="黑体" w:cs="黑体"/>
          <w:kern w:val="2"/>
          <w:sz w:val="32"/>
          <w:szCs w:val="32"/>
          <w:highlight w:val="none"/>
          <w:lang w:val="en-US" w:eastAsia="zh-CN" w:bidi="ar-SA"/>
        </w:rPr>
        <w:t>二、部门预算单位构成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 w:beforeAutospacing="0" w:after="24" w:afterAutospacing="0" w:line="600" w:lineRule="exact"/>
        <w:ind w:left="0" w:right="0" w:firstLine="420"/>
        <w:jc w:val="both"/>
        <w:textAlignment w:val="auto"/>
        <w:rPr>
          <w:rFonts w:hint="eastAsia" w:ascii="仿宋" w:hAnsi="仿宋" w:eastAsia="仿宋" w:cs="仿宋"/>
          <w:kern w:val="2"/>
          <w:sz w:val="32"/>
          <w:szCs w:val="32"/>
          <w:highlight w:val="none"/>
          <w:lang w:val="en-US" w:eastAsia="zh-CN" w:bidi="ar-SA"/>
        </w:rPr>
      </w:pPr>
      <w:r>
        <w:rPr>
          <w:rFonts w:hint="eastAsia" w:ascii="仿宋" w:hAnsi="仿宋" w:eastAsia="仿宋" w:cs="仿宋"/>
          <w:kern w:val="2"/>
          <w:sz w:val="32"/>
          <w:szCs w:val="32"/>
          <w:highlight w:val="none"/>
          <w:lang w:val="en-US" w:eastAsia="zh-CN" w:bidi="ar-SA"/>
        </w:rPr>
        <w:t>开福区现代服务业发展中心只有本级，没有其他二级预算单位，因此，纳入2021年部门预算编制范围的只有开福区现代服务业发展中心本级。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 w:beforeAutospacing="0" w:after="24" w:afterAutospacing="0" w:line="600" w:lineRule="exact"/>
        <w:ind w:right="0" w:firstLine="640" w:firstLineChars="200"/>
        <w:jc w:val="both"/>
        <w:textAlignment w:val="auto"/>
        <w:rPr>
          <w:rFonts w:hint="eastAsia" w:ascii="黑体" w:hAnsi="黑体" w:eastAsia="黑体" w:cs="黑体"/>
          <w:kern w:val="2"/>
          <w:sz w:val="32"/>
          <w:szCs w:val="32"/>
          <w:highlight w:val="none"/>
          <w:lang w:val="en-US" w:eastAsia="zh-CN" w:bidi="ar-SA"/>
        </w:rPr>
      </w:pPr>
      <w:r>
        <w:rPr>
          <w:rFonts w:hint="eastAsia" w:ascii="黑体" w:hAnsi="黑体" w:eastAsia="黑体" w:cs="黑体"/>
          <w:kern w:val="2"/>
          <w:sz w:val="32"/>
          <w:szCs w:val="32"/>
          <w:highlight w:val="none"/>
          <w:lang w:val="en-US" w:eastAsia="zh-CN" w:bidi="ar-SA"/>
        </w:rPr>
        <w:t>三、部门收支总体情况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 w:beforeAutospacing="0" w:after="24" w:afterAutospacing="0" w:line="600" w:lineRule="exact"/>
        <w:ind w:right="0" w:firstLine="643" w:firstLineChars="200"/>
        <w:jc w:val="both"/>
        <w:textAlignment w:val="auto"/>
        <w:rPr>
          <w:rFonts w:hint="eastAsia" w:ascii="仿宋" w:hAnsi="仿宋" w:eastAsia="仿宋" w:cs="仿宋"/>
          <w:kern w:val="2"/>
          <w:sz w:val="32"/>
          <w:szCs w:val="32"/>
          <w:highlight w:val="none"/>
          <w:lang w:val="en-US" w:eastAsia="zh-CN" w:bidi="ar-SA"/>
        </w:rPr>
      </w:pPr>
      <w:r>
        <w:rPr>
          <w:rFonts w:hint="eastAsia" w:ascii="仿宋" w:hAnsi="仿宋" w:eastAsia="仿宋" w:cs="仿宋"/>
          <w:b/>
          <w:bCs/>
          <w:kern w:val="2"/>
          <w:sz w:val="32"/>
          <w:szCs w:val="32"/>
          <w:highlight w:val="none"/>
          <w:lang w:val="en-US" w:eastAsia="zh-CN" w:bidi="ar-SA"/>
        </w:rPr>
        <w:t>（一）收入预算：</w:t>
      </w:r>
      <w:r>
        <w:rPr>
          <w:rFonts w:hint="eastAsia" w:ascii="仿宋" w:hAnsi="仿宋" w:eastAsia="仿宋" w:cs="仿宋"/>
          <w:b w:val="0"/>
          <w:bCs w:val="0"/>
          <w:color w:val="000000" w:themeColor="text1"/>
          <w:sz w:val="32"/>
          <w:szCs w:val="32"/>
          <w14:textFill>
            <w14:solidFill>
              <w14:schemeClr w14:val="tx1"/>
            </w14:solidFill>
          </w14:textFill>
        </w:rPr>
        <w:t>包括一般公共预算、政府性基金、国有资本经营预算等财政拨款收入，以及经营收入、事业收入等单位资金</w:t>
      </w:r>
      <w:r>
        <w:rPr>
          <w:rFonts w:hint="eastAsia" w:ascii="仿宋" w:hAnsi="仿宋" w:eastAsia="仿宋" w:cs="仿宋"/>
          <w:b w:val="0"/>
          <w:bCs w:val="0"/>
          <w:sz w:val="32"/>
          <w:szCs w:val="32"/>
          <w:lang w:eastAsia="zh-CN"/>
        </w:rPr>
        <w:t>，</w:t>
      </w:r>
      <w:r>
        <w:rPr>
          <w:rFonts w:hint="eastAsia" w:ascii="仿宋" w:hAnsi="仿宋" w:eastAsia="仿宋" w:cs="仿宋"/>
          <w:kern w:val="2"/>
          <w:sz w:val="32"/>
          <w:szCs w:val="32"/>
          <w:highlight w:val="none"/>
          <w:lang w:val="en-US" w:eastAsia="zh-CN" w:bidi="ar-SA"/>
        </w:rPr>
        <w:t>2021年预算数373.13万元，其中，一般公共预算拨款373.13万元，政府性基金拨款0万元，国有资本经营预算拨款0万元，纳入专户管理的非税收入0万元，事业单位经营服务收入0万元。</w:t>
      </w:r>
      <w:r>
        <w:rPr>
          <w:rFonts w:hint="eastAsia" w:ascii="仿宋" w:hAnsi="仿宋" w:eastAsia="仿宋" w:cs="仿宋"/>
          <w:b w:val="0"/>
          <w:bCs w:val="0"/>
          <w:color w:val="000000" w:themeColor="text1"/>
          <w:sz w:val="32"/>
          <w:szCs w:val="32"/>
          <w14:textFill>
            <w14:solidFill>
              <w14:schemeClr w14:val="tx1"/>
            </w14:solidFill>
          </w14:textFill>
        </w:rPr>
        <w:t>收入较去年增加</w:t>
      </w:r>
      <w:r>
        <w:rPr>
          <w:rFonts w:hint="eastAsia" w:ascii="仿宋" w:hAnsi="仿宋" w:eastAsia="仿宋" w:cs="仿宋"/>
          <w:b w:val="0"/>
          <w:bCs w:val="0"/>
          <w:color w:val="000000" w:themeColor="text1"/>
          <w:sz w:val="32"/>
          <w:szCs w:val="32"/>
          <w:lang w:val="en-US" w:eastAsia="zh-CN"/>
          <w14:textFill>
            <w14:solidFill>
              <w14:schemeClr w14:val="tx1"/>
            </w14:solidFill>
          </w14:textFill>
        </w:rPr>
        <w:t>15.96</w:t>
      </w:r>
      <w:r>
        <w:rPr>
          <w:rFonts w:hint="eastAsia" w:ascii="仿宋" w:hAnsi="仿宋" w:eastAsia="仿宋" w:cs="仿宋"/>
          <w:b w:val="0"/>
          <w:bCs w:val="0"/>
          <w:color w:val="000000" w:themeColor="text1"/>
          <w:sz w:val="32"/>
          <w:szCs w:val="32"/>
          <w14:textFill>
            <w14:solidFill>
              <w14:schemeClr w14:val="tx1"/>
            </w14:solidFill>
          </w14:textFill>
        </w:rPr>
        <w:t>万元，</w:t>
      </w:r>
      <w:r>
        <w:rPr>
          <w:rFonts w:hint="eastAsia" w:ascii="仿宋" w:hAnsi="仿宋" w:eastAsia="仿宋" w:cs="仿宋"/>
          <w:b w:val="0"/>
          <w:bCs w:val="0"/>
          <w:color w:val="000000" w:themeColor="text1"/>
          <w:sz w:val="32"/>
          <w:szCs w:val="32"/>
          <w:lang w:val="en-US" w:eastAsia="zh-CN"/>
          <w14:textFill>
            <w14:solidFill>
              <w14:schemeClr w14:val="tx1"/>
            </w14:solidFill>
          </w14:textFill>
        </w:rPr>
        <w:t>上升4.47%</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highlight w:val="none"/>
        </w:rPr>
        <w:t>主要是用于支付2020年新调入副科级领导待遇及其他在编在岗干部正常晋级晋档工资增加部分</w:t>
      </w:r>
      <w:r>
        <w:rPr>
          <w:rFonts w:hint="eastAsia" w:ascii="仿宋" w:hAnsi="仿宋" w:eastAsia="仿宋" w:cs="仿宋"/>
          <w:b w:val="0"/>
          <w:bCs w:val="0"/>
          <w:sz w:val="32"/>
          <w:szCs w:val="32"/>
          <w:highlight w:val="none"/>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 w:beforeAutospacing="0" w:after="24" w:afterAutospacing="0" w:line="600" w:lineRule="exact"/>
        <w:ind w:right="0" w:firstLine="643" w:firstLineChars="200"/>
        <w:jc w:val="both"/>
        <w:textAlignment w:val="auto"/>
        <w:rPr>
          <w:rFonts w:hint="eastAsia" w:ascii="仿宋" w:hAnsi="仿宋" w:eastAsia="仿宋" w:cs="仿宋"/>
          <w:kern w:val="2"/>
          <w:sz w:val="32"/>
          <w:szCs w:val="32"/>
          <w:highlight w:val="none"/>
          <w:lang w:val="en-US" w:eastAsia="zh-CN" w:bidi="ar-SA"/>
        </w:rPr>
      </w:pPr>
      <w:r>
        <w:rPr>
          <w:rFonts w:hint="eastAsia" w:ascii="仿宋" w:hAnsi="仿宋" w:eastAsia="仿宋" w:cs="仿宋"/>
          <w:b/>
          <w:bCs/>
          <w:kern w:val="2"/>
          <w:sz w:val="32"/>
          <w:szCs w:val="32"/>
          <w:highlight w:val="none"/>
          <w:lang w:val="en-US" w:eastAsia="zh-CN" w:bidi="ar-SA"/>
        </w:rPr>
        <w:t>（二）支出预算：</w:t>
      </w:r>
      <w:r>
        <w:rPr>
          <w:rFonts w:hint="eastAsia" w:ascii="仿宋" w:hAnsi="仿宋" w:eastAsia="仿宋" w:cs="仿宋"/>
          <w:kern w:val="2"/>
          <w:sz w:val="32"/>
          <w:szCs w:val="32"/>
          <w:highlight w:val="none"/>
          <w:lang w:val="en-US" w:eastAsia="zh-CN" w:bidi="ar-SA"/>
        </w:rPr>
        <w:t>2021年预算数373.13万元，其中，一般公共服务355.33万元，住房保障支出17.8万元。</w:t>
      </w:r>
      <w:r>
        <w:rPr>
          <w:rFonts w:hint="eastAsia" w:ascii="仿宋" w:hAnsi="仿宋" w:eastAsia="仿宋" w:cs="仿宋"/>
          <w:b w:val="0"/>
          <w:bCs/>
          <w:color w:val="000000" w:themeColor="text1"/>
          <w:sz w:val="32"/>
          <w:szCs w:val="32"/>
          <w:highlight w:val="none"/>
          <w14:textFill>
            <w14:solidFill>
              <w14:schemeClr w14:val="tx1"/>
            </w14:solidFill>
          </w14:textFill>
        </w:rPr>
        <w:t>支出较去年增加</w:t>
      </w:r>
      <w:r>
        <w:rPr>
          <w:rFonts w:hint="eastAsia" w:ascii="仿宋" w:hAnsi="仿宋" w:eastAsia="仿宋" w:cs="仿宋"/>
          <w:b w:val="0"/>
          <w:bCs/>
          <w:color w:val="000000" w:themeColor="text1"/>
          <w:sz w:val="32"/>
          <w:szCs w:val="32"/>
          <w:highlight w:val="none"/>
          <w:lang w:val="en-US" w:eastAsia="zh-CN"/>
          <w14:textFill>
            <w14:solidFill>
              <w14:schemeClr w14:val="tx1"/>
            </w14:solidFill>
          </w14:textFill>
        </w:rPr>
        <w:t>15.96</w:t>
      </w:r>
      <w:r>
        <w:rPr>
          <w:rFonts w:hint="eastAsia" w:ascii="仿宋" w:hAnsi="仿宋" w:eastAsia="仿宋" w:cs="仿宋"/>
          <w:b w:val="0"/>
          <w:bCs/>
          <w:color w:val="000000" w:themeColor="text1"/>
          <w:sz w:val="32"/>
          <w:szCs w:val="32"/>
          <w:highlight w:val="none"/>
          <w14:textFill>
            <w14:solidFill>
              <w14:schemeClr w14:val="tx1"/>
            </w14:solidFill>
          </w14:textFill>
        </w:rPr>
        <w:t>万元，</w:t>
      </w:r>
      <w:r>
        <w:rPr>
          <w:rFonts w:hint="eastAsia" w:ascii="仿宋" w:hAnsi="仿宋" w:eastAsia="仿宋" w:cs="仿宋"/>
          <w:b w:val="0"/>
          <w:bCs/>
          <w:color w:val="000000" w:themeColor="text1"/>
          <w:sz w:val="32"/>
          <w:szCs w:val="32"/>
          <w:highlight w:val="none"/>
          <w:lang w:val="en-US" w:eastAsia="zh-CN"/>
          <w14:textFill>
            <w14:solidFill>
              <w14:schemeClr w14:val="tx1"/>
            </w14:solidFill>
          </w14:textFill>
        </w:rPr>
        <w:t>上升4.47%，</w:t>
      </w:r>
      <w:r>
        <w:rPr>
          <w:rFonts w:hint="eastAsia" w:ascii="仿宋" w:hAnsi="仿宋" w:eastAsia="仿宋" w:cs="仿宋"/>
          <w:b w:val="0"/>
          <w:bCs/>
          <w:color w:val="auto"/>
          <w:sz w:val="32"/>
          <w:szCs w:val="32"/>
          <w:highlight w:val="none"/>
        </w:rPr>
        <w:t>主要是用于支付2020年新调入副科级领导待遇及其他在编在岗干部正常晋级晋档工资增加部分</w:t>
      </w:r>
      <w:r>
        <w:rPr>
          <w:rFonts w:hint="eastAsia" w:ascii="仿宋" w:hAnsi="仿宋" w:eastAsia="仿宋" w:cs="仿宋"/>
          <w:b w:val="0"/>
          <w:bCs/>
          <w:color w:val="auto"/>
          <w:sz w:val="32"/>
          <w:szCs w:val="32"/>
          <w:highlight w:val="none"/>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 w:beforeAutospacing="0" w:after="24" w:afterAutospacing="0" w:line="600" w:lineRule="exact"/>
        <w:ind w:right="0" w:firstLine="640" w:firstLineChars="200"/>
        <w:jc w:val="both"/>
        <w:textAlignment w:val="auto"/>
        <w:rPr>
          <w:rFonts w:hint="eastAsia" w:ascii="黑体" w:hAnsi="黑体" w:eastAsia="黑体" w:cs="黑体"/>
          <w:kern w:val="2"/>
          <w:sz w:val="32"/>
          <w:szCs w:val="32"/>
          <w:highlight w:val="none"/>
          <w:lang w:val="en-US" w:eastAsia="zh-CN" w:bidi="ar-SA"/>
        </w:rPr>
      </w:pPr>
      <w:r>
        <w:rPr>
          <w:rFonts w:hint="eastAsia" w:ascii="黑体" w:hAnsi="黑体" w:eastAsia="黑体" w:cs="黑体"/>
          <w:kern w:val="2"/>
          <w:sz w:val="32"/>
          <w:szCs w:val="32"/>
          <w:highlight w:val="none"/>
          <w:lang w:val="en-US" w:eastAsia="zh-CN" w:bidi="ar-SA"/>
        </w:rPr>
        <w:t>四、一般公共预算拨款支出预算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 w:beforeAutospacing="0" w:after="24" w:afterAutospacing="0" w:line="600" w:lineRule="exact"/>
        <w:ind w:right="0" w:firstLine="640" w:firstLineChars="200"/>
        <w:jc w:val="both"/>
        <w:textAlignment w:val="auto"/>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pPr>
      <w:r>
        <w:rPr>
          <w:rFonts w:hint="eastAsia" w:ascii="仿宋" w:hAnsi="仿宋" w:eastAsia="仿宋" w:cs="仿宋"/>
          <w:kern w:val="2"/>
          <w:sz w:val="32"/>
          <w:szCs w:val="32"/>
          <w:highlight w:val="none"/>
          <w:lang w:val="en-US" w:eastAsia="zh-CN" w:bidi="ar-SA"/>
        </w:rPr>
        <w:t>2021年一般公共预算拨款收入373.13万元，</w:t>
      </w:r>
      <w:r>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t>其中，一般公共服务355.33万元，占95.23%;住房保障支出17.8万元，占4.77%。具体安排情况如下：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 w:beforeAutospacing="0" w:after="24" w:afterAutospacing="0" w:line="600" w:lineRule="exact"/>
        <w:ind w:right="0" w:firstLine="643" w:firstLineChars="200"/>
        <w:jc w:val="both"/>
        <w:textAlignment w:val="auto"/>
        <w:rPr>
          <w:rFonts w:hint="eastAsia" w:ascii="仿宋" w:hAnsi="仿宋" w:eastAsia="仿宋" w:cs="仿宋"/>
          <w:kern w:val="2"/>
          <w:sz w:val="32"/>
          <w:szCs w:val="32"/>
          <w:highlight w:val="none"/>
          <w:lang w:val="en-US" w:eastAsia="zh-CN" w:bidi="ar-SA"/>
        </w:rPr>
      </w:pPr>
      <w:r>
        <w:rPr>
          <w:rFonts w:hint="eastAsia" w:ascii="仿宋" w:hAnsi="仿宋" w:eastAsia="仿宋" w:cs="仿宋"/>
          <w:b/>
          <w:bCs/>
          <w:kern w:val="2"/>
          <w:sz w:val="32"/>
          <w:szCs w:val="32"/>
          <w:highlight w:val="none"/>
          <w:lang w:val="en-US" w:eastAsia="zh-CN" w:bidi="ar-SA"/>
        </w:rPr>
        <w:t>（一）基本支出：</w:t>
      </w:r>
      <w:r>
        <w:rPr>
          <w:rFonts w:hint="eastAsia" w:ascii="仿宋" w:hAnsi="仿宋" w:eastAsia="仿宋" w:cs="仿宋"/>
          <w:kern w:val="2"/>
          <w:sz w:val="32"/>
          <w:szCs w:val="32"/>
          <w:highlight w:val="none"/>
          <w:lang w:val="en-US" w:eastAsia="zh-CN" w:bidi="ar-SA"/>
        </w:rPr>
        <w:t>2021年预算数为267.77万元，是指为保障单位机构正常运转、完成日常工作任务而发生的各项支出，包括用于基本工资、津贴补贴等人员经费以及办公费、印刷费、水电费、办公设备购置等日常公用经费。</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0" w:leftChars="0" w:right="420" w:firstLine="639" w:firstLineChars="199"/>
        <w:jc w:val="both"/>
        <w:textAlignment w:val="auto"/>
        <w:rPr>
          <w:rFonts w:hint="eastAsia" w:ascii="仿宋" w:hAnsi="仿宋" w:eastAsia="仿宋" w:cs="仿宋"/>
          <w:kern w:val="2"/>
          <w:sz w:val="32"/>
          <w:szCs w:val="32"/>
          <w:highlight w:val="none"/>
          <w:lang w:val="en-US" w:eastAsia="zh-CN" w:bidi="ar-SA"/>
        </w:rPr>
      </w:pPr>
      <w:r>
        <w:rPr>
          <w:rFonts w:hint="eastAsia" w:ascii="仿宋" w:hAnsi="仿宋" w:eastAsia="仿宋" w:cs="仿宋"/>
          <w:b/>
          <w:bCs/>
          <w:kern w:val="2"/>
          <w:sz w:val="32"/>
          <w:szCs w:val="32"/>
          <w:highlight w:val="none"/>
          <w:lang w:val="en-US" w:eastAsia="zh-CN" w:bidi="ar-SA"/>
        </w:rPr>
        <w:t>（二）项目支出：</w:t>
      </w:r>
      <w:r>
        <w:rPr>
          <w:rFonts w:hint="eastAsia" w:ascii="仿宋" w:hAnsi="仿宋" w:eastAsia="仿宋" w:cs="仿宋"/>
          <w:kern w:val="2"/>
          <w:sz w:val="32"/>
          <w:szCs w:val="32"/>
          <w:highlight w:val="none"/>
          <w:lang w:val="en-US" w:eastAsia="zh-CN" w:bidi="ar-SA"/>
        </w:rPr>
        <w:t>2021年预算数为105.36万元，</w:t>
      </w:r>
      <w:r>
        <w:rPr>
          <w:rFonts w:ascii="仿宋_GB2312" w:hAnsi="仿宋_GB2312" w:eastAsia="仿宋_GB2312" w:cs="仿宋_GB2312"/>
          <w:color w:val="000000"/>
          <w:sz w:val="32"/>
          <w:highlight w:val="none"/>
        </w:rPr>
        <w:t>主要是部门为完成特定行政工作任务或事业发展目标而发生的支出，包括有关事业发展专项、专项业务费、基本建设支出等，其中：一般公共服务支出</w:t>
      </w:r>
      <w:r>
        <w:rPr>
          <w:rFonts w:hint="eastAsia" w:ascii="仿宋_GB2312" w:hAnsi="仿宋_GB2312" w:eastAsia="仿宋_GB2312" w:cs="仿宋_GB2312"/>
          <w:color w:val="000000"/>
          <w:sz w:val="32"/>
          <w:highlight w:val="none"/>
          <w:lang w:val="en-US" w:eastAsia="zh-CN"/>
        </w:rPr>
        <w:t>105.36</w:t>
      </w:r>
      <w:r>
        <w:rPr>
          <w:rFonts w:ascii="仿宋_GB2312" w:hAnsi="仿宋_GB2312" w:eastAsia="仿宋_GB2312" w:cs="仿宋_GB2312"/>
          <w:color w:val="000000"/>
          <w:sz w:val="32"/>
          <w:highlight w:val="none"/>
        </w:rPr>
        <w:t>万元，主要用于楼宇经济工作、楼宇网络信息平台维护、开福楼宇APP运行维护、楼宇经济的媒体宣传、楼宇促进会专用经费、文创产业相关工作、部门外迁办公、部门外迁办公餐补等方面。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 w:beforeAutospacing="0" w:after="24" w:afterAutospacing="0" w:line="600" w:lineRule="exact"/>
        <w:ind w:right="0" w:firstLine="640" w:firstLineChars="200"/>
        <w:jc w:val="both"/>
        <w:textAlignment w:val="auto"/>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五、政府性基金预算支出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 w:beforeAutospacing="0" w:after="24" w:afterAutospacing="0" w:line="600" w:lineRule="exact"/>
        <w:ind w:right="0" w:firstLine="640" w:firstLineChars="200"/>
        <w:jc w:val="both"/>
        <w:textAlignment w:val="auto"/>
        <w:rPr>
          <w:rFonts w:hint="eastAsia" w:eastAsia="黑体"/>
          <w:color w:val="FF0000"/>
          <w:sz w:val="32"/>
          <w:szCs w:val="32"/>
          <w:lang w:val="en-US" w:eastAsia="zh-CN"/>
        </w:rPr>
      </w:pPr>
      <w:r>
        <w:rPr>
          <w:rFonts w:eastAsia="仿宋_GB2312"/>
          <w:b w:val="0"/>
          <w:bCs/>
          <w:color w:val="000000" w:themeColor="text1"/>
          <w:sz w:val="32"/>
          <w:szCs w:val="32"/>
          <w14:textFill>
            <w14:solidFill>
              <w14:schemeClr w14:val="tx1"/>
            </w14:solidFill>
          </w14:textFill>
        </w:rPr>
        <w:t>本部门无政府性基金安排的支出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 w:beforeAutospacing="0" w:after="24" w:afterAutospacing="0" w:line="600" w:lineRule="exact"/>
        <w:ind w:right="0" w:firstLine="640" w:firstLineChars="200"/>
        <w:jc w:val="both"/>
        <w:textAlignment w:val="auto"/>
        <w:rPr>
          <w:rFonts w:hint="eastAsia" w:ascii="黑体" w:hAnsi="黑体" w:eastAsia="黑体" w:cs="黑体"/>
          <w:kern w:val="2"/>
          <w:sz w:val="32"/>
          <w:szCs w:val="32"/>
          <w:highlight w:val="none"/>
          <w:lang w:val="en-US" w:eastAsia="zh-CN" w:bidi="ar-SA"/>
        </w:rPr>
      </w:pPr>
      <w:r>
        <w:rPr>
          <w:rFonts w:hint="eastAsia" w:ascii="黑体" w:hAnsi="黑体" w:eastAsia="黑体" w:cs="黑体"/>
          <w:kern w:val="2"/>
          <w:sz w:val="32"/>
          <w:szCs w:val="32"/>
          <w:highlight w:val="none"/>
          <w:lang w:val="en-US" w:eastAsia="zh-CN" w:bidi="ar-SA"/>
        </w:rPr>
        <w:t>六、其他重要事项的情况说明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 w:beforeAutospacing="0" w:after="24" w:afterAutospacing="0" w:line="600" w:lineRule="exact"/>
        <w:ind w:right="0" w:firstLine="643" w:firstLineChars="200"/>
        <w:jc w:val="both"/>
        <w:textAlignment w:val="auto"/>
        <w:rPr>
          <w:rFonts w:hint="eastAsia" w:ascii="仿宋" w:hAnsi="仿宋" w:eastAsia="仿宋" w:cs="仿宋"/>
          <w:kern w:val="2"/>
          <w:sz w:val="32"/>
          <w:szCs w:val="32"/>
          <w:highlight w:val="none"/>
          <w:lang w:val="en-US" w:eastAsia="zh-CN" w:bidi="ar-SA"/>
        </w:rPr>
      </w:pPr>
      <w:r>
        <w:rPr>
          <w:rFonts w:hint="eastAsia" w:ascii="仿宋" w:hAnsi="仿宋" w:eastAsia="仿宋" w:cs="仿宋"/>
          <w:b/>
          <w:sz w:val="32"/>
          <w:szCs w:val="32"/>
        </w:rPr>
        <w:t>（一）机关运行经费：</w:t>
      </w:r>
      <w:r>
        <w:rPr>
          <w:rFonts w:hint="eastAsia" w:ascii="仿宋" w:hAnsi="仿宋" w:eastAsia="仿宋" w:cs="仿宋"/>
          <w:kern w:val="2"/>
          <w:sz w:val="32"/>
          <w:szCs w:val="32"/>
          <w:highlight w:val="none"/>
          <w:lang w:val="en-US" w:eastAsia="zh-CN" w:bidi="ar-SA"/>
        </w:rPr>
        <w:t>：2021年局机关（行政单位）以及二级机构的机关运行经费财政拨款预算</w:t>
      </w:r>
      <w:r>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t>23.85</w:t>
      </w:r>
      <w:r>
        <w:rPr>
          <w:rFonts w:hint="eastAsia" w:ascii="仿宋" w:hAnsi="仿宋" w:eastAsia="仿宋" w:cs="仿宋"/>
          <w:kern w:val="2"/>
          <w:sz w:val="32"/>
          <w:szCs w:val="32"/>
          <w:highlight w:val="none"/>
          <w:lang w:val="en-US" w:eastAsia="zh-CN" w:bidi="ar-SA"/>
        </w:rPr>
        <w:t>万元，</w:t>
      </w:r>
      <w:r>
        <w:rPr>
          <w:rFonts w:hint="eastAsia" w:ascii="仿宋" w:hAnsi="仿宋" w:eastAsia="仿宋" w:cs="仿宋"/>
          <w:color w:val="000000" w:themeColor="text1"/>
          <w:sz w:val="32"/>
          <w:szCs w:val="32"/>
          <w14:textFill>
            <w14:solidFill>
              <w14:schemeClr w14:val="tx1"/>
            </w14:solidFill>
          </w14:textFill>
        </w:rPr>
        <w:t>比上年预算增加</w:t>
      </w:r>
      <w:r>
        <w:rPr>
          <w:rFonts w:hint="eastAsia" w:ascii="仿宋" w:hAnsi="仿宋" w:eastAsia="仿宋" w:cs="仿宋"/>
          <w:color w:val="000000" w:themeColor="text1"/>
          <w:sz w:val="32"/>
          <w:szCs w:val="32"/>
          <w:lang w:val="en-US" w:eastAsia="zh-CN"/>
          <w14:textFill>
            <w14:solidFill>
              <w14:schemeClr w14:val="tx1"/>
            </w14:solidFill>
          </w14:textFill>
        </w:rPr>
        <w:t>2.51</w:t>
      </w:r>
      <w:r>
        <w:rPr>
          <w:rFonts w:hint="eastAsia" w:ascii="仿宋" w:hAnsi="仿宋" w:eastAsia="仿宋" w:cs="仿宋"/>
          <w:color w:val="000000" w:themeColor="text1"/>
          <w:sz w:val="32"/>
          <w:szCs w:val="32"/>
          <w14:textFill>
            <w14:solidFill>
              <w14:schemeClr w14:val="tx1"/>
            </w14:solidFill>
          </w14:textFill>
        </w:rPr>
        <w:t>万元，上升</w:t>
      </w:r>
      <w:r>
        <w:rPr>
          <w:rFonts w:hint="eastAsia" w:ascii="仿宋" w:hAnsi="仿宋" w:eastAsia="仿宋" w:cs="仿宋"/>
          <w:color w:val="000000" w:themeColor="text1"/>
          <w:sz w:val="32"/>
          <w:szCs w:val="32"/>
          <w:lang w:val="en-US" w:eastAsia="zh-CN"/>
          <w14:textFill>
            <w14:solidFill>
              <w14:schemeClr w14:val="tx1"/>
            </w14:solidFill>
          </w14:textFill>
        </w:rPr>
        <w:t>11.76</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主要是</w:t>
      </w:r>
      <w:r>
        <w:rPr>
          <w:rFonts w:hint="eastAsia" w:ascii="仿宋" w:hAnsi="仿宋" w:eastAsia="仿宋" w:cs="仿宋"/>
          <w:color w:val="000000" w:themeColor="text1"/>
          <w:sz w:val="32"/>
          <w:szCs w:val="32"/>
          <w:highlight w:val="none"/>
          <w:lang w:val="en-US" w:eastAsia="zh-CN"/>
          <w14:textFill>
            <w14:solidFill>
              <w14:schemeClr w14:val="tx1"/>
            </w14:solidFill>
          </w14:textFill>
        </w:rPr>
        <w:t>2020年新</w:t>
      </w:r>
      <w:r>
        <w:rPr>
          <w:rFonts w:hint="eastAsia" w:ascii="仿宋" w:hAnsi="仿宋" w:eastAsia="仿宋" w:cs="仿宋"/>
          <w:sz w:val="32"/>
          <w:szCs w:val="32"/>
          <w:highlight w:val="none"/>
          <w:lang w:val="en-US" w:eastAsia="zh-CN"/>
        </w:rPr>
        <w:t>调入一名副科级领导，在职在编领导干部由7名增加为8名，增加相应的机关运行经费。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 w:beforeAutospacing="0" w:after="24" w:afterAutospacing="0" w:line="600" w:lineRule="exact"/>
        <w:ind w:right="0" w:firstLine="643" w:firstLineChars="200"/>
        <w:jc w:val="both"/>
        <w:textAlignment w:val="auto"/>
        <w:rPr>
          <w:rFonts w:hint="default" w:ascii="仿宋" w:hAnsi="仿宋" w:eastAsia="仿宋" w:cs="仿宋"/>
          <w:kern w:val="2"/>
          <w:sz w:val="32"/>
          <w:szCs w:val="32"/>
          <w:highlight w:val="none"/>
          <w:lang w:val="en-US" w:eastAsia="zh-CN" w:bidi="ar-SA"/>
        </w:rPr>
      </w:pPr>
      <w:r>
        <w:rPr>
          <w:rFonts w:hint="eastAsia" w:ascii="仿宋" w:hAnsi="仿宋" w:eastAsia="仿宋" w:cs="仿宋"/>
          <w:b/>
          <w:sz w:val="32"/>
          <w:szCs w:val="32"/>
          <w:highlight w:val="none"/>
        </w:rPr>
        <w:t>（二）“三公”经费预算：</w:t>
      </w:r>
      <w:r>
        <w:rPr>
          <w:rFonts w:hint="eastAsia" w:ascii="仿宋" w:hAnsi="仿宋" w:eastAsia="仿宋" w:cs="仿宋"/>
          <w:kern w:val="2"/>
          <w:sz w:val="32"/>
          <w:szCs w:val="32"/>
          <w:highlight w:val="none"/>
          <w:lang w:val="en-US" w:eastAsia="zh-CN" w:bidi="ar-SA"/>
        </w:rPr>
        <w:t>2020年“三公”经费预算数为0万元，其中，公务接待费0万元，公务用车购置及运行费0万元</w:t>
      </w:r>
      <w:bookmarkStart w:id="0" w:name="_GoBack"/>
      <w:r>
        <w:rPr>
          <w:rFonts w:hint="eastAsia" w:ascii="仿宋" w:hAnsi="仿宋" w:eastAsia="仿宋" w:cs="仿宋"/>
          <w:color w:val="000000" w:themeColor="text1"/>
          <w:sz w:val="32"/>
          <w:szCs w:val="32"/>
          <w:highlight w:val="none"/>
          <w14:textFill>
            <w14:solidFill>
              <w14:schemeClr w14:val="tx1"/>
            </w14:solidFill>
          </w14:textFill>
        </w:rPr>
        <w:t>（其中，公务用车购置费</w:t>
      </w:r>
      <w:r>
        <w:rPr>
          <w:rFonts w:hint="eastAsia" w:ascii="仿宋" w:hAnsi="仿宋" w:eastAsia="仿宋" w:cs="仿宋"/>
          <w:color w:val="000000" w:themeColor="text1"/>
          <w:sz w:val="32"/>
          <w:szCs w:val="32"/>
          <w:highlight w:val="none"/>
          <w:lang w:val="en-US" w:eastAsia="zh-CN"/>
          <w14:textFill>
            <w14:solidFill>
              <w14:schemeClr w14:val="tx1"/>
            </w14:solidFill>
          </w14:textFill>
        </w:rPr>
        <w:t>0</w:t>
      </w:r>
      <w:r>
        <w:rPr>
          <w:rFonts w:hint="eastAsia" w:ascii="仿宋" w:hAnsi="仿宋" w:eastAsia="仿宋" w:cs="仿宋"/>
          <w:color w:val="000000" w:themeColor="text1"/>
          <w:sz w:val="32"/>
          <w:szCs w:val="32"/>
          <w:highlight w:val="none"/>
          <w14:textFill>
            <w14:solidFill>
              <w14:schemeClr w14:val="tx1"/>
            </w14:solidFill>
          </w14:textFill>
        </w:rPr>
        <w:t>万元，公务用车运行费</w:t>
      </w:r>
      <w:r>
        <w:rPr>
          <w:rFonts w:hint="eastAsia" w:ascii="仿宋" w:hAnsi="仿宋" w:eastAsia="仿宋" w:cs="仿宋"/>
          <w:color w:val="000000" w:themeColor="text1"/>
          <w:sz w:val="32"/>
          <w:szCs w:val="32"/>
          <w:highlight w:val="none"/>
          <w:lang w:val="en-US" w:eastAsia="zh-CN"/>
          <w14:textFill>
            <w14:solidFill>
              <w14:schemeClr w14:val="tx1"/>
            </w14:solidFill>
          </w14:textFill>
        </w:rPr>
        <w:t>0</w:t>
      </w:r>
      <w:r>
        <w:rPr>
          <w:rFonts w:hint="eastAsia" w:ascii="仿宋" w:hAnsi="仿宋" w:eastAsia="仿宋" w:cs="仿宋"/>
          <w:color w:val="000000" w:themeColor="text1"/>
          <w:sz w:val="32"/>
          <w:szCs w:val="32"/>
          <w:highlight w:val="none"/>
          <w14:textFill>
            <w14:solidFill>
              <w14:schemeClr w14:val="tx1"/>
            </w14:solidFill>
          </w14:textFill>
        </w:rPr>
        <w:t>万元）</w:t>
      </w:r>
      <w:r>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t>，因公出国（境）费0万元。</w:t>
      </w:r>
      <w:r>
        <w:rPr>
          <w:rFonts w:hint="eastAsia" w:ascii="仿宋" w:hAnsi="仿宋" w:eastAsia="仿宋" w:cs="仿宋"/>
          <w:color w:val="000000" w:themeColor="text1"/>
          <w:sz w:val="32"/>
          <w:szCs w:val="32"/>
          <w:highlight w:val="none"/>
          <w:lang w:val="en-US" w:eastAsia="zh-CN"/>
          <w14:textFill>
            <w14:solidFill>
              <w14:schemeClr w14:val="tx1"/>
            </w14:solidFill>
          </w14:textFill>
        </w:rPr>
        <w:t>2021</w:t>
      </w:r>
      <w:r>
        <w:rPr>
          <w:rFonts w:hint="eastAsia" w:ascii="仿宋" w:hAnsi="仿宋" w:eastAsia="仿宋" w:cs="仿宋"/>
          <w:color w:val="000000" w:themeColor="text1"/>
          <w:sz w:val="32"/>
          <w:szCs w:val="32"/>
          <w:highlight w:val="none"/>
          <w14:textFill>
            <w14:solidFill>
              <w14:schemeClr w14:val="tx1"/>
            </w14:solidFill>
          </w14:textFill>
        </w:rPr>
        <w:t>年“三公”经费预算较2020年减少</w:t>
      </w:r>
      <w:r>
        <w:rPr>
          <w:rFonts w:hint="eastAsia" w:ascii="仿宋" w:hAnsi="仿宋" w:eastAsia="仿宋" w:cs="仿宋"/>
          <w:color w:val="000000" w:themeColor="text1"/>
          <w:sz w:val="32"/>
          <w:szCs w:val="32"/>
          <w:highlight w:val="none"/>
          <w:lang w:val="en-US" w:eastAsia="zh-CN"/>
          <w14:textFill>
            <w14:solidFill>
              <w14:schemeClr w14:val="tx1"/>
            </w14:solidFill>
          </w14:textFill>
        </w:rPr>
        <w:t>3.2</w:t>
      </w:r>
      <w:r>
        <w:rPr>
          <w:rFonts w:hint="eastAsia" w:ascii="仿宋" w:hAnsi="仿宋" w:eastAsia="仿宋" w:cs="仿宋"/>
          <w:color w:val="000000" w:themeColor="text1"/>
          <w:sz w:val="32"/>
          <w:szCs w:val="32"/>
          <w:highlight w:val="none"/>
          <w14:textFill>
            <w14:solidFill>
              <w14:schemeClr w14:val="tx1"/>
            </w14:solidFill>
          </w14:textFill>
        </w:rPr>
        <w:t>万元，</w:t>
      </w:r>
      <w:bookmarkEnd w:id="0"/>
      <w:r>
        <w:rPr>
          <w:rFonts w:hint="eastAsia" w:ascii="仿宋" w:hAnsi="仿宋" w:eastAsia="仿宋" w:cs="仿宋"/>
          <w:sz w:val="32"/>
          <w:szCs w:val="32"/>
          <w:highlight w:val="none"/>
        </w:rPr>
        <w:t>主要是</w:t>
      </w:r>
      <w:r>
        <w:rPr>
          <w:rFonts w:hint="eastAsia" w:ascii="仿宋" w:hAnsi="仿宋" w:eastAsia="仿宋" w:cs="仿宋"/>
          <w:sz w:val="32"/>
          <w:szCs w:val="32"/>
          <w:highlight w:val="none"/>
          <w:lang w:val="en-US" w:eastAsia="zh-CN"/>
        </w:rPr>
        <w:t>取消了公务用车，单位不再配备公务车</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ab/>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0" w:leftChars="0" w:right="420" w:firstLine="639" w:firstLineChars="199"/>
        <w:jc w:val="both"/>
        <w:textAlignment w:val="auto"/>
        <w:rPr>
          <w:rFonts w:hint="eastAsia" w:ascii="仿宋" w:hAnsi="仿宋" w:eastAsia="仿宋" w:cs="仿宋"/>
          <w:kern w:val="2"/>
          <w:sz w:val="32"/>
          <w:szCs w:val="32"/>
          <w:highlight w:val="none"/>
          <w:lang w:val="en-US" w:eastAsia="zh-CN" w:bidi="ar-SA"/>
        </w:rPr>
      </w:pPr>
      <w:r>
        <w:rPr>
          <w:rFonts w:hint="eastAsia" w:ascii="仿宋" w:hAnsi="仿宋" w:eastAsia="仿宋" w:cs="仿宋"/>
          <w:b/>
          <w:sz w:val="32"/>
          <w:szCs w:val="32"/>
          <w:highlight w:val="none"/>
        </w:rPr>
        <w:t>（三）一般性支出情况：</w:t>
      </w:r>
      <w:r>
        <w:rPr>
          <w:rFonts w:hint="eastAsia" w:ascii="仿宋" w:hAnsi="仿宋" w:eastAsia="仿宋" w:cs="仿宋"/>
          <w:b/>
          <w:sz w:val="32"/>
          <w:szCs w:val="32"/>
          <w:highlight w:val="none"/>
          <w:lang w:val="en-US" w:eastAsia="zh-CN"/>
        </w:rPr>
        <w:t>2021</w:t>
      </w:r>
      <w:r>
        <w:rPr>
          <w:rFonts w:ascii="仿宋_GB2312" w:hAnsi="仿宋_GB2312" w:eastAsia="仿宋_GB2312" w:cs="仿宋_GB2312"/>
          <w:color w:val="000000"/>
          <w:sz w:val="32"/>
          <w:highlight w:val="none"/>
        </w:rPr>
        <w:t>年本部门会议费预算1万元，拟召开楼宇项目招商</w:t>
      </w:r>
      <w:r>
        <w:rPr>
          <w:rFonts w:hint="eastAsia" w:ascii="仿宋_GB2312" w:hAnsi="仿宋_GB2312" w:eastAsia="仿宋_GB2312" w:cs="仿宋_GB2312"/>
          <w:color w:val="000000"/>
          <w:sz w:val="32"/>
          <w:highlight w:val="none"/>
          <w:lang w:val="en-US" w:eastAsia="zh-CN"/>
        </w:rPr>
        <w:t>推介</w:t>
      </w:r>
      <w:r>
        <w:rPr>
          <w:rFonts w:ascii="仿宋_GB2312" w:hAnsi="仿宋_GB2312" w:eastAsia="仿宋_GB2312" w:cs="仿宋_GB2312"/>
          <w:color w:val="000000"/>
          <w:sz w:val="32"/>
          <w:highlight w:val="none"/>
        </w:rPr>
        <w:t>会议，人数50人，内容</w:t>
      </w:r>
      <w:r>
        <w:rPr>
          <w:rFonts w:hint="eastAsia" w:ascii="仿宋_GB2312" w:hAnsi="仿宋_GB2312" w:eastAsia="仿宋_GB2312" w:cs="仿宋_GB2312"/>
          <w:color w:val="000000"/>
          <w:sz w:val="32"/>
          <w:highlight w:val="none"/>
          <w:lang w:val="en-US" w:eastAsia="zh-CN"/>
        </w:rPr>
        <w:t>为向市场推荐辖区内高端商务楼宇</w:t>
      </w:r>
      <w:r>
        <w:rPr>
          <w:rFonts w:ascii="仿宋_GB2312" w:hAnsi="仿宋_GB2312" w:eastAsia="仿宋_GB2312" w:cs="仿宋_GB2312"/>
          <w:color w:val="000000"/>
          <w:sz w:val="32"/>
          <w:highlight w:val="none"/>
        </w:rPr>
        <w:t>，着力打造现代服务业聚集区，</w:t>
      </w:r>
      <w:r>
        <w:rPr>
          <w:rFonts w:hint="eastAsia" w:ascii="仿宋_GB2312" w:hAnsi="仿宋_GB2312" w:eastAsia="仿宋_GB2312" w:cs="仿宋_GB2312"/>
          <w:color w:val="000000"/>
          <w:sz w:val="32"/>
          <w:highlight w:val="none"/>
        </w:rPr>
        <w:t>不断提升楼宇经济发展水平，推进楼宇经济高端区建设</w:t>
      </w:r>
      <w:r>
        <w:rPr>
          <w:rFonts w:ascii="仿宋_GB2312" w:hAnsi="仿宋_GB2312" w:eastAsia="仿宋_GB2312" w:cs="仿宋_GB2312"/>
          <w:color w:val="000000"/>
          <w:sz w:val="32"/>
          <w:highlight w:val="none"/>
        </w:rPr>
        <w:t>；培训费预算1万元，拟开展楼宇物业、街道经济专干培训，人数50人，内容为楼宇经济基本知识、商务礼仪、互学互比、与楼宇“零距离”现场参观学习等方面开展培训和现场教学，提升整个开福区楼宇精细化服务的水平，营造辖区楼宇经济良好发展氛围；未举办节庆、晚会、论坛、赛事等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 w:beforeAutospacing="0" w:after="24" w:afterAutospacing="0" w:line="600" w:lineRule="exact"/>
        <w:ind w:right="0" w:firstLine="643" w:firstLineChars="200"/>
        <w:jc w:val="both"/>
        <w:textAlignment w:val="auto"/>
        <w:rPr>
          <w:rFonts w:hint="eastAsia" w:ascii="仿宋" w:hAnsi="仿宋" w:eastAsia="仿宋" w:cs="仿宋"/>
          <w:kern w:val="2"/>
          <w:sz w:val="32"/>
          <w:szCs w:val="32"/>
          <w:highlight w:val="none"/>
          <w:lang w:val="en-US" w:eastAsia="zh-CN" w:bidi="ar-SA"/>
        </w:rPr>
      </w:pPr>
      <w:r>
        <w:rPr>
          <w:rFonts w:hint="eastAsia" w:ascii="仿宋" w:hAnsi="仿宋" w:eastAsia="仿宋" w:cs="仿宋"/>
          <w:b/>
          <w:sz w:val="32"/>
          <w:szCs w:val="32"/>
          <w:lang w:eastAsia="zh-CN"/>
        </w:rPr>
        <w:t>（</w:t>
      </w:r>
      <w:r>
        <w:rPr>
          <w:rFonts w:hint="eastAsia" w:ascii="仿宋" w:hAnsi="仿宋" w:eastAsia="仿宋" w:cs="仿宋"/>
          <w:b/>
          <w:sz w:val="32"/>
          <w:szCs w:val="32"/>
          <w:lang w:val="en-US" w:eastAsia="zh-CN"/>
        </w:rPr>
        <w:t>四）</w:t>
      </w:r>
      <w:r>
        <w:rPr>
          <w:rFonts w:hint="eastAsia" w:ascii="仿宋" w:hAnsi="仿宋" w:eastAsia="仿宋" w:cs="仿宋"/>
          <w:b/>
          <w:sz w:val="32"/>
          <w:szCs w:val="32"/>
        </w:rPr>
        <w:t>政府采购情况：</w:t>
      </w:r>
      <w:r>
        <w:rPr>
          <w:rFonts w:hint="eastAsia" w:ascii="仿宋" w:hAnsi="仿宋" w:eastAsia="仿宋" w:cs="仿宋"/>
          <w:kern w:val="2"/>
          <w:sz w:val="32"/>
          <w:szCs w:val="32"/>
          <w:highlight w:val="none"/>
          <w:lang w:val="en-US" w:eastAsia="zh-CN" w:bidi="ar-SA"/>
        </w:rPr>
        <w:t>2021年长沙市开福区现代服务业发展中心政府采购</w:t>
      </w:r>
      <w:r>
        <w:rPr>
          <w:rFonts w:hint="eastAsia" w:ascii="仿宋" w:hAnsi="仿宋" w:eastAsia="仿宋" w:cs="仿宋"/>
          <w:kern w:val="2"/>
          <w:sz w:val="32"/>
          <w:szCs w:val="32"/>
          <w:highlight w:val="none"/>
          <w:u w:val="none"/>
          <w:lang w:val="en-US" w:eastAsia="zh-CN" w:bidi="ar-SA"/>
        </w:rPr>
        <w:t>预算2.45万元。</w:t>
      </w:r>
      <w:r>
        <w:rPr>
          <w:rFonts w:hint="eastAsia" w:ascii="仿宋" w:hAnsi="仿宋" w:eastAsia="仿宋" w:cs="仿宋"/>
          <w:color w:val="000000" w:themeColor="text1"/>
          <w:sz w:val="32"/>
          <w:szCs w:val="32"/>
          <w:u w:val="none"/>
          <w14:textFill>
            <w14:solidFill>
              <w14:schemeClr w14:val="tx1"/>
            </w14:solidFill>
          </w14:textFill>
        </w:rPr>
        <w:t>其中，货物类采购预算</w:t>
      </w:r>
      <w:r>
        <w:rPr>
          <w:rFonts w:hint="eastAsia" w:ascii="仿宋" w:hAnsi="仿宋" w:eastAsia="仿宋" w:cs="仿宋"/>
          <w:color w:val="000000" w:themeColor="text1"/>
          <w:sz w:val="32"/>
          <w:szCs w:val="32"/>
          <w:u w:val="none"/>
          <w:lang w:val="en-US" w:eastAsia="zh-CN"/>
          <w14:textFill>
            <w14:solidFill>
              <w14:schemeClr w14:val="tx1"/>
            </w14:solidFill>
          </w14:textFill>
        </w:rPr>
        <w:t>2.45</w:t>
      </w:r>
      <w:r>
        <w:rPr>
          <w:rFonts w:hint="eastAsia" w:ascii="仿宋" w:hAnsi="仿宋" w:eastAsia="仿宋" w:cs="仿宋"/>
          <w:color w:val="000000" w:themeColor="text1"/>
          <w:sz w:val="32"/>
          <w:szCs w:val="32"/>
          <w:u w:val="none"/>
          <w14:textFill>
            <w14:solidFill>
              <w14:schemeClr w14:val="tx1"/>
            </w14:solidFill>
          </w14:textFill>
        </w:rPr>
        <w:t>万元；工程类采购预算</w:t>
      </w:r>
      <w:r>
        <w:rPr>
          <w:rFonts w:hint="eastAsia" w:ascii="仿宋" w:hAnsi="仿宋" w:eastAsia="仿宋" w:cs="仿宋"/>
          <w:color w:val="000000" w:themeColor="text1"/>
          <w:sz w:val="32"/>
          <w:szCs w:val="32"/>
          <w:u w:val="none"/>
          <w:lang w:val="en-US" w:eastAsia="zh-CN"/>
          <w14:textFill>
            <w14:solidFill>
              <w14:schemeClr w14:val="tx1"/>
            </w14:solidFill>
          </w14:textFill>
        </w:rPr>
        <w:t>0</w:t>
      </w:r>
      <w:r>
        <w:rPr>
          <w:rFonts w:hint="eastAsia" w:ascii="仿宋" w:hAnsi="仿宋" w:eastAsia="仿宋" w:cs="仿宋"/>
          <w:color w:val="000000" w:themeColor="text1"/>
          <w:sz w:val="32"/>
          <w:szCs w:val="32"/>
          <w:u w:val="none"/>
          <w14:textFill>
            <w14:solidFill>
              <w14:schemeClr w14:val="tx1"/>
            </w14:solidFill>
          </w14:textFill>
        </w:rPr>
        <w:t>万元；服务类采购预算</w:t>
      </w:r>
      <w:r>
        <w:rPr>
          <w:rFonts w:hint="eastAsia" w:ascii="仿宋" w:hAnsi="仿宋" w:eastAsia="仿宋" w:cs="仿宋"/>
          <w:color w:val="000000" w:themeColor="text1"/>
          <w:sz w:val="32"/>
          <w:szCs w:val="32"/>
          <w:u w:val="none"/>
          <w:lang w:val="en-US" w:eastAsia="zh-CN"/>
          <w14:textFill>
            <w14:solidFill>
              <w14:schemeClr w14:val="tx1"/>
            </w14:solidFill>
          </w14:textFill>
        </w:rPr>
        <w:t>0</w:t>
      </w:r>
      <w:r>
        <w:rPr>
          <w:rFonts w:hint="eastAsia" w:ascii="仿宋" w:hAnsi="仿宋" w:eastAsia="仿宋" w:cs="仿宋"/>
          <w:color w:val="000000" w:themeColor="text1"/>
          <w:sz w:val="32"/>
          <w:szCs w:val="32"/>
          <w:u w:val="none"/>
          <w14:textFill>
            <w14:solidFill>
              <w14:schemeClr w14:val="tx1"/>
            </w14:solidFill>
          </w14:textFill>
        </w:rPr>
        <w:t>万元</w:t>
      </w:r>
      <w:r>
        <w:rPr>
          <w:rFonts w:hint="eastAsia" w:ascii="仿宋" w:hAnsi="仿宋" w:eastAsia="仿宋" w:cs="仿宋"/>
          <w:sz w:val="32"/>
          <w:szCs w:val="32"/>
          <w:u w:val="none"/>
        </w:rPr>
        <w:t>。</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hint="eastAsia" w:ascii="仿宋" w:hAnsi="仿宋" w:eastAsia="仿宋" w:cs="仿宋"/>
          <w:bCs/>
          <w:color w:val="000000" w:themeColor="text1"/>
          <w:kern w:val="0"/>
          <w:sz w:val="32"/>
          <w:szCs w:val="32"/>
          <w:u w:val="none"/>
          <w14:textFill>
            <w14:solidFill>
              <w14:schemeClr w14:val="tx1"/>
            </w14:solidFill>
          </w14:textFill>
        </w:rPr>
      </w:pPr>
      <w:r>
        <w:rPr>
          <w:rFonts w:hint="eastAsia" w:ascii="仿宋" w:hAnsi="仿宋" w:eastAsia="仿宋" w:cs="仿宋"/>
          <w:b/>
          <w:sz w:val="32"/>
          <w:szCs w:val="32"/>
          <w:u w:val="none"/>
        </w:rPr>
        <w:t>（五）国有资产占用使用及新增资产配置情况：</w:t>
      </w:r>
      <w:r>
        <w:rPr>
          <w:rFonts w:hint="eastAsia" w:ascii="仿宋" w:hAnsi="仿宋" w:eastAsia="仿宋" w:cs="仿宋"/>
          <w:sz w:val="32"/>
          <w:szCs w:val="32"/>
          <w:u w:val="none"/>
        </w:rPr>
        <w:t>截至</w:t>
      </w:r>
      <w:r>
        <w:rPr>
          <w:rFonts w:hint="eastAsia" w:ascii="仿宋" w:hAnsi="仿宋" w:eastAsia="仿宋" w:cs="仿宋"/>
          <w:color w:val="000000" w:themeColor="text1"/>
          <w:sz w:val="32"/>
          <w:szCs w:val="32"/>
          <w:u w:val="none"/>
          <w14:textFill>
            <w14:solidFill>
              <w14:schemeClr w14:val="tx1"/>
            </w14:solidFill>
          </w14:textFill>
        </w:rPr>
        <w:t>2020年12月底，本部门</w:t>
      </w:r>
      <w:r>
        <w:rPr>
          <w:rFonts w:hint="eastAsia" w:ascii="仿宋" w:hAnsi="仿宋" w:eastAsia="仿宋" w:cs="仿宋"/>
          <w:bCs/>
          <w:color w:val="000000" w:themeColor="text1"/>
          <w:kern w:val="0"/>
          <w:sz w:val="32"/>
          <w:szCs w:val="32"/>
          <w:u w:val="none"/>
          <w14:textFill>
            <w14:solidFill>
              <w14:schemeClr w14:val="tx1"/>
            </w14:solidFill>
          </w14:textFill>
        </w:rPr>
        <w:t>共有公务用车</w:t>
      </w:r>
      <w:r>
        <w:rPr>
          <w:rFonts w:hint="eastAsia" w:ascii="仿宋" w:hAnsi="仿宋" w:eastAsia="仿宋" w:cs="仿宋"/>
          <w:bCs/>
          <w:color w:val="000000" w:themeColor="text1"/>
          <w:kern w:val="0"/>
          <w:sz w:val="32"/>
          <w:szCs w:val="32"/>
          <w:u w:val="none"/>
          <w:lang w:val="en-US" w:eastAsia="zh-CN"/>
          <w14:textFill>
            <w14:solidFill>
              <w14:schemeClr w14:val="tx1"/>
            </w14:solidFill>
          </w14:textFill>
        </w:rPr>
        <w:t>0</w:t>
      </w:r>
      <w:r>
        <w:rPr>
          <w:rFonts w:hint="eastAsia" w:ascii="仿宋" w:hAnsi="仿宋" w:eastAsia="仿宋" w:cs="仿宋"/>
          <w:bCs/>
          <w:color w:val="000000" w:themeColor="text1"/>
          <w:kern w:val="0"/>
          <w:sz w:val="32"/>
          <w:szCs w:val="32"/>
          <w:u w:val="none"/>
          <w14:textFill>
            <w14:solidFill>
              <w14:schemeClr w14:val="tx1"/>
            </w14:solidFill>
          </w14:textFill>
        </w:rPr>
        <w:t>辆，其中，机要通信用车</w:t>
      </w:r>
      <w:r>
        <w:rPr>
          <w:rFonts w:hint="eastAsia" w:ascii="仿宋" w:hAnsi="仿宋" w:eastAsia="仿宋" w:cs="仿宋"/>
          <w:bCs/>
          <w:color w:val="000000" w:themeColor="text1"/>
          <w:kern w:val="0"/>
          <w:sz w:val="32"/>
          <w:szCs w:val="32"/>
          <w:u w:val="none"/>
          <w:lang w:val="en-US" w:eastAsia="zh-CN"/>
          <w14:textFill>
            <w14:solidFill>
              <w14:schemeClr w14:val="tx1"/>
            </w14:solidFill>
          </w14:textFill>
        </w:rPr>
        <w:t>0</w:t>
      </w:r>
      <w:r>
        <w:rPr>
          <w:rFonts w:hint="eastAsia" w:ascii="仿宋" w:hAnsi="仿宋" w:eastAsia="仿宋" w:cs="仿宋"/>
          <w:bCs/>
          <w:color w:val="000000" w:themeColor="text1"/>
          <w:kern w:val="0"/>
          <w:sz w:val="32"/>
          <w:szCs w:val="32"/>
          <w:u w:val="none"/>
          <w14:textFill>
            <w14:solidFill>
              <w14:schemeClr w14:val="tx1"/>
            </w14:solidFill>
          </w14:textFill>
        </w:rPr>
        <w:t>辆，应急保障用车</w:t>
      </w:r>
      <w:r>
        <w:rPr>
          <w:rFonts w:hint="eastAsia" w:ascii="仿宋" w:hAnsi="仿宋" w:eastAsia="仿宋" w:cs="仿宋"/>
          <w:bCs/>
          <w:color w:val="000000" w:themeColor="text1"/>
          <w:kern w:val="0"/>
          <w:sz w:val="32"/>
          <w:szCs w:val="32"/>
          <w:u w:val="none"/>
          <w:lang w:val="en-US" w:eastAsia="zh-CN"/>
          <w14:textFill>
            <w14:solidFill>
              <w14:schemeClr w14:val="tx1"/>
            </w14:solidFill>
          </w14:textFill>
        </w:rPr>
        <w:t>0</w:t>
      </w:r>
      <w:r>
        <w:rPr>
          <w:rFonts w:hint="eastAsia" w:ascii="仿宋" w:hAnsi="仿宋" w:eastAsia="仿宋" w:cs="仿宋"/>
          <w:bCs/>
          <w:color w:val="000000" w:themeColor="text1"/>
          <w:kern w:val="0"/>
          <w:sz w:val="32"/>
          <w:szCs w:val="32"/>
          <w:u w:val="none"/>
          <w14:textFill>
            <w14:solidFill>
              <w14:schemeClr w14:val="tx1"/>
            </w14:solidFill>
          </w14:textFill>
        </w:rPr>
        <w:t>辆，执法执勤用车</w:t>
      </w:r>
      <w:r>
        <w:rPr>
          <w:rFonts w:hint="eastAsia" w:ascii="仿宋" w:hAnsi="仿宋" w:eastAsia="仿宋" w:cs="仿宋"/>
          <w:bCs/>
          <w:color w:val="000000" w:themeColor="text1"/>
          <w:kern w:val="0"/>
          <w:sz w:val="32"/>
          <w:szCs w:val="32"/>
          <w:u w:val="none"/>
          <w:lang w:val="en-US" w:eastAsia="zh-CN"/>
          <w14:textFill>
            <w14:solidFill>
              <w14:schemeClr w14:val="tx1"/>
            </w14:solidFill>
          </w14:textFill>
        </w:rPr>
        <w:t>0</w:t>
      </w:r>
      <w:r>
        <w:rPr>
          <w:rFonts w:hint="eastAsia" w:ascii="仿宋" w:hAnsi="仿宋" w:eastAsia="仿宋" w:cs="仿宋"/>
          <w:bCs/>
          <w:color w:val="000000" w:themeColor="text1"/>
          <w:kern w:val="0"/>
          <w:sz w:val="32"/>
          <w:szCs w:val="32"/>
          <w:u w:val="none"/>
          <w14:textFill>
            <w14:solidFill>
              <w14:schemeClr w14:val="tx1"/>
            </w14:solidFill>
          </w14:textFill>
        </w:rPr>
        <w:t>辆，特种专业技术用车</w:t>
      </w:r>
      <w:r>
        <w:rPr>
          <w:rFonts w:hint="eastAsia" w:ascii="仿宋" w:hAnsi="仿宋" w:eastAsia="仿宋" w:cs="仿宋"/>
          <w:bCs/>
          <w:color w:val="000000" w:themeColor="text1"/>
          <w:kern w:val="0"/>
          <w:sz w:val="32"/>
          <w:szCs w:val="32"/>
          <w:u w:val="none"/>
          <w:lang w:val="en-US" w:eastAsia="zh-CN"/>
          <w14:textFill>
            <w14:solidFill>
              <w14:schemeClr w14:val="tx1"/>
            </w14:solidFill>
          </w14:textFill>
        </w:rPr>
        <w:t>0</w:t>
      </w:r>
      <w:r>
        <w:rPr>
          <w:rFonts w:hint="eastAsia" w:ascii="仿宋" w:hAnsi="仿宋" w:eastAsia="仿宋" w:cs="仿宋"/>
          <w:bCs/>
          <w:color w:val="000000" w:themeColor="text1"/>
          <w:kern w:val="0"/>
          <w:sz w:val="32"/>
          <w:szCs w:val="32"/>
          <w:u w:val="none"/>
          <w14:textFill>
            <w14:solidFill>
              <w14:schemeClr w14:val="tx1"/>
            </w14:solidFill>
          </w14:textFill>
        </w:rPr>
        <w:t>辆，其他按照规定配备的公务用车</w:t>
      </w:r>
      <w:r>
        <w:rPr>
          <w:rFonts w:hint="eastAsia" w:ascii="仿宋" w:hAnsi="仿宋" w:eastAsia="仿宋" w:cs="仿宋"/>
          <w:bCs/>
          <w:color w:val="000000" w:themeColor="text1"/>
          <w:kern w:val="0"/>
          <w:sz w:val="32"/>
          <w:szCs w:val="32"/>
          <w:u w:val="none"/>
          <w:lang w:val="en-US" w:eastAsia="zh-CN"/>
          <w14:textFill>
            <w14:solidFill>
              <w14:schemeClr w14:val="tx1"/>
            </w14:solidFill>
          </w14:textFill>
        </w:rPr>
        <w:t>0</w:t>
      </w:r>
      <w:r>
        <w:rPr>
          <w:rFonts w:hint="eastAsia" w:ascii="仿宋" w:hAnsi="仿宋" w:eastAsia="仿宋" w:cs="仿宋"/>
          <w:bCs/>
          <w:color w:val="000000" w:themeColor="text1"/>
          <w:kern w:val="0"/>
          <w:sz w:val="32"/>
          <w:szCs w:val="32"/>
          <w:u w:val="none"/>
          <w14:textFill>
            <w14:solidFill>
              <w14:schemeClr w14:val="tx1"/>
            </w14:solidFill>
          </w14:textFill>
        </w:rPr>
        <w:t>辆；单位价值50万元以上通用设备</w:t>
      </w:r>
      <w:r>
        <w:rPr>
          <w:rFonts w:hint="eastAsia" w:ascii="仿宋" w:hAnsi="仿宋" w:eastAsia="仿宋" w:cs="仿宋"/>
          <w:bCs/>
          <w:color w:val="000000" w:themeColor="text1"/>
          <w:kern w:val="0"/>
          <w:sz w:val="32"/>
          <w:szCs w:val="32"/>
          <w:u w:val="none"/>
          <w:lang w:val="en-US" w:eastAsia="zh-CN"/>
          <w14:textFill>
            <w14:solidFill>
              <w14:schemeClr w14:val="tx1"/>
            </w14:solidFill>
          </w14:textFill>
        </w:rPr>
        <w:t>0</w:t>
      </w:r>
      <w:r>
        <w:rPr>
          <w:rFonts w:hint="eastAsia" w:ascii="仿宋" w:hAnsi="仿宋" w:eastAsia="仿宋" w:cs="仿宋"/>
          <w:bCs/>
          <w:color w:val="000000" w:themeColor="text1"/>
          <w:kern w:val="0"/>
          <w:sz w:val="32"/>
          <w:szCs w:val="32"/>
          <w:u w:val="none"/>
          <w14:textFill>
            <w14:solidFill>
              <w14:schemeClr w14:val="tx1"/>
            </w14:solidFill>
          </w14:textFill>
        </w:rPr>
        <w:t>台，单位价值100万元以上专用设备</w:t>
      </w:r>
      <w:r>
        <w:rPr>
          <w:rFonts w:hint="eastAsia" w:ascii="仿宋" w:hAnsi="仿宋" w:eastAsia="仿宋" w:cs="仿宋"/>
          <w:bCs/>
          <w:color w:val="000000" w:themeColor="text1"/>
          <w:kern w:val="0"/>
          <w:sz w:val="32"/>
          <w:szCs w:val="32"/>
          <w:u w:val="none"/>
          <w:lang w:val="en-US" w:eastAsia="zh-CN"/>
          <w14:textFill>
            <w14:solidFill>
              <w14:schemeClr w14:val="tx1"/>
            </w14:solidFill>
          </w14:textFill>
        </w:rPr>
        <w:t>0</w:t>
      </w:r>
      <w:r>
        <w:rPr>
          <w:rFonts w:hint="eastAsia" w:ascii="仿宋" w:hAnsi="仿宋" w:eastAsia="仿宋" w:cs="仿宋"/>
          <w:bCs/>
          <w:color w:val="000000" w:themeColor="text1"/>
          <w:kern w:val="0"/>
          <w:sz w:val="32"/>
          <w:szCs w:val="32"/>
          <w:u w:val="none"/>
          <w14:textFill>
            <w14:solidFill>
              <w14:schemeClr w14:val="tx1"/>
            </w14:solidFill>
          </w14:textFill>
        </w:rPr>
        <w:t>台。</w:t>
      </w:r>
      <w:r>
        <w:rPr>
          <w:rFonts w:hint="eastAsia" w:ascii="仿宋" w:hAnsi="仿宋" w:eastAsia="仿宋" w:cs="仿宋"/>
          <w:bCs/>
          <w:color w:val="000000" w:themeColor="text1"/>
          <w:kern w:val="0"/>
          <w:sz w:val="32"/>
          <w:szCs w:val="32"/>
          <w:u w:val="none"/>
          <w:lang w:val="en-US" w:eastAsia="zh-CN"/>
          <w14:textFill>
            <w14:solidFill>
              <w14:schemeClr w14:val="tx1"/>
            </w14:solidFill>
          </w14:textFill>
        </w:rPr>
        <w:t>2021</w:t>
      </w:r>
      <w:r>
        <w:rPr>
          <w:rFonts w:hint="eastAsia" w:ascii="仿宋" w:hAnsi="仿宋" w:eastAsia="仿宋" w:cs="仿宋"/>
          <w:bCs/>
          <w:color w:val="000000" w:themeColor="text1"/>
          <w:kern w:val="0"/>
          <w:sz w:val="32"/>
          <w:szCs w:val="32"/>
          <w:u w:val="none"/>
          <w14:textFill>
            <w14:solidFill>
              <w14:schemeClr w14:val="tx1"/>
            </w14:solidFill>
          </w14:textFill>
        </w:rPr>
        <w:t>年拟新增配置公务用车</w:t>
      </w:r>
      <w:r>
        <w:rPr>
          <w:rFonts w:hint="eastAsia" w:ascii="仿宋" w:hAnsi="仿宋" w:eastAsia="仿宋" w:cs="仿宋"/>
          <w:bCs/>
          <w:color w:val="000000" w:themeColor="text1"/>
          <w:kern w:val="0"/>
          <w:sz w:val="32"/>
          <w:szCs w:val="32"/>
          <w:u w:val="none"/>
          <w:lang w:val="en-US" w:eastAsia="zh-CN"/>
          <w14:textFill>
            <w14:solidFill>
              <w14:schemeClr w14:val="tx1"/>
            </w14:solidFill>
          </w14:textFill>
        </w:rPr>
        <w:t>0</w:t>
      </w:r>
      <w:r>
        <w:rPr>
          <w:rFonts w:hint="eastAsia" w:ascii="仿宋" w:hAnsi="仿宋" w:eastAsia="仿宋" w:cs="仿宋"/>
          <w:bCs/>
          <w:color w:val="000000" w:themeColor="text1"/>
          <w:kern w:val="0"/>
          <w:sz w:val="32"/>
          <w:szCs w:val="32"/>
          <w:u w:val="none"/>
          <w14:textFill>
            <w14:solidFill>
              <w14:schemeClr w14:val="tx1"/>
            </w14:solidFill>
          </w14:textFill>
        </w:rPr>
        <w:t>辆，其中，机要通信用车</w:t>
      </w:r>
      <w:r>
        <w:rPr>
          <w:rFonts w:hint="eastAsia" w:ascii="仿宋" w:hAnsi="仿宋" w:eastAsia="仿宋" w:cs="仿宋"/>
          <w:bCs/>
          <w:color w:val="000000" w:themeColor="text1"/>
          <w:kern w:val="0"/>
          <w:sz w:val="32"/>
          <w:szCs w:val="32"/>
          <w:u w:val="none"/>
          <w:lang w:val="en-US" w:eastAsia="zh-CN"/>
          <w14:textFill>
            <w14:solidFill>
              <w14:schemeClr w14:val="tx1"/>
            </w14:solidFill>
          </w14:textFill>
        </w:rPr>
        <w:t>0</w:t>
      </w:r>
      <w:r>
        <w:rPr>
          <w:rFonts w:hint="eastAsia" w:ascii="仿宋" w:hAnsi="仿宋" w:eastAsia="仿宋" w:cs="仿宋"/>
          <w:bCs/>
          <w:color w:val="000000" w:themeColor="text1"/>
          <w:kern w:val="0"/>
          <w:sz w:val="32"/>
          <w:szCs w:val="32"/>
          <w:u w:val="none"/>
          <w14:textFill>
            <w14:solidFill>
              <w14:schemeClr w14:val="tx1"/>
            </w14:solidFill>
          </w14:textFill>
        </w:rPr>
        <w:t>辆，应急保障用车</w:t>
      </w:r>
      <w:r>
        <w:rPr>
          <w:rFonts w:hint="eastAsia" w:ascii="仿宋" w:hAnsi="仿宋" w:eastAsia="仿宋" w:cs="仿宋"/>
          <w:bCs/>
          <w:color w:val="000000" w:themeColor="text1"/>
          <w:kern w:val="0"/>
          <w:sz w:val="32"/>
          <w:szCs w:val="32"/>
          <w:u w:val="none"/>
          <w:lang w:val="en-US" w:eastAsia="zh-CN"/>
          <w14:textFill>
            <w14:solidFill>
              <w14:schemeClr w14:val="tx1"/>
            </w14:solidFill>
          </w14:textFill>
        </w:rPr>
        <w:t>0</w:t>
      </w:r>
      <w:r>
        <w:rPr>
          <w:rFonts w:hint="eastAsia" w:ascii="仿宋" w:hAnsi="仿宋" w:eastAsia="仿宋" w:cs="仿宋"/>
          <w:bCs/>
          <w:color w:val="000000" w:themeColor="text1"/>
          <w:kern w:val="0"/>
          <w:sz w:val="32"/>
          <w:szCs w:val="32"/>
          <w:u w:val="none"/>
          <w14:textFill>
            <w14:solidFill>
              <w14:schemeClr w14:val="tx1"/>
            </w14:solidFill>
          </w14:textFill>
        </w:rPr>
        <w:t>辆，执法执勤用车</w:t>
      </w:r>
      <w:r>
        <w:rPr>
          <w:rFonts w:hint="eastAsia" w:ascii="仿宋" w:hAnsi="仿宋" w:eastAsia="仿宋" w:cs="仿宋"/>
          <w:bCs/>
          <w:color w:val="000000" w:themeColor="text1"/>
          <w:kern w:val="0"/>
          <w:sz w:val="32"/>
          <w:szCs w:val="32"/>
          <w:u w:val="none"/>
          <w:lang w:val="en-US" w:eastAsia="zh-CN"/>
          <w14:textFill>
            <w14:solidFill>
              <w14:schemeClr w14:val="tx1"/>
            </w14:solidFill>
          </w14:textFill>
        </w:rPr>
        <w:t>0</w:t>
      </w:r>
      <w:r>
        <w:rPr>
          <w:rFonts w:hint="eastAsia" w:ascii="仿宋" w:hAnsi="仿宋" w:eastAsia="仿宋" w:cs="仿宋"/>
          <w:bCs/>
          <w:color w:val="000000" w:themeColor="text1"/>
          <w:kern w:val="0"/>
          <w:sz w:val="32"/>
          <w:szCs w:val="32"/>
          <w:u w:val="none"/>
          <w14:textFill>
            <w14:solidFill>
              <w14:schemeClr w14:val="tx1"/>
            </w14:solidFill>
          </w14:textFill>
        </w:rPr>
        <w:t>辆，特种专业技术用车</w:t>
      </w:r>
      <w:r>
        <w:rPr>
          <w:rFonts w:hint="eastAsia" w:ascii="仿宋" w:hAnsi="仿宋" w:eastAsia="仿宋" w:cs="仿宋"/>
          <w:bCs/>
          <w:color w:val="000000" w:themeColor="text1"/>
          <w:kern w:val="0"/>
          <w:sz w:val="32"/>
          <w:szCs w:val="32"/>
          <w:u w:val="none"/>
          <w:lang w:val="en-US" w:eastAsia="zh-CN"/>
          <w14:textFill>
            <w14:solidFill>
              <w14:schemeClr w14:val="tx1"/>
            </w14:solidFill>
          </w14:textFill>
        </w:rPr>
        <w:t>0</w:t>
      </w:r>
      <w:r>
        <w:rPr>
          <w:rFonts w:hint="eastAsia" w:ascii="仿宋" w:hAnsi="仿宋" w:eastAsia="仿宋" w:cs="仿宋"/>
          <w:bCs/>
          <w:color w:val="000000" w:themeColor="text1"/>
          <w:kern w:val="0"/>
          <w:sz w:val="32"/>
          <w:szCs w:val="32"/>
          <w:u w:val="none"/>
          <w14:textFill>
            <w14:solidFill>
              <w14:schemeClr w14:val="tx1"/>
            </w14:solidFill>
          </w14:textFill>
        </w:rPr>
        <w:t>辆，其他按照规定配备的公务用车</w:t>
      </w:r>
      <w:r>
        <w:rPr>
          <w:rFonts w:hint="eastAsia" w:ascii="仿宋" w:hAnsi="仿宋" w:eastAsia="仿宋" w:cs="仿宋"/>
          <w:bCs/>
          <w:color w:val="000000" w:themeColor="text1"/>
          <w:kern w:val="0"/>
          <w:sz w:val="32"/>
          <w:szCs w:val="32"/>
          <w:u w:val="none"/>
          <w:lang w:val="en-US" w:eastAsia="zh-CN"/>
          <w14:textFill>
            <w14:solidFill>
              <w14:schemeClr w14:val="tx1"/>
            </w14:solidFill>
          </w14:textFill>
        </w:rPr>
        <w:t>0</w:t>
      </w:r>
      <w:r>
        <w:rPr>
          <w:rFonts w:hint="eastAsia" w:ascii="仿宋" w:hAnsi="仿宋" w:eastAsia="仿宋" w:cs="仿宋"/>
          <w:bCs/>
          <w:color w:val="000000" w:themeColor="text1"/>
          <w:kern w:val="0"/>
          <w:sz w:val="32"/>
          <w:szCs w:val="32"/>
          <w:u w:val="none"/>
          <w14:textFill>
            <w14:solidFill>
              <w14:schemeClr w14:val="tx1"/>
            </w14:solidFill>
          </w14:textFill>
        </w:rPr>
        <w:t>辆；新增配备单位价值50万元以上通用设备</w:t>
      </w:r>
      <w:r>
        <w:rPr>
          <w:rFonts w:hint="eastAsia" w:ascii="仿宋" w:hAnsi="仿宋" w:eastAsia="仿宋" w:cs="仿宋"/>
          <w:bCs/>
          <w:color w:val="000000" w:themeColor="text1"/>
          <w:kern w:val="0"/>
          <w:sz w:val="32"/>
          <w:szCs w:val="32"/>
          <w:u w:val="none"/>
          <w:lang w:val="en-US" w:eastAsia="zh-CN"/>
          <w14:textFill>
            <w14:solidFill>
              <w14:schemeClr w14:val="tx1"/>
            </w14:solidFill>
          </w14:textFill>
        </w:rPr>
        <w:t>0</w:t>
      </w:r>
      <w:r>
        <w:rPr>
          <w:rFonts w:hint="eastAsia" w:ascii="仿宋" w:hAnsi="仿宋" w:eastAsia="仿宋" w:cs="仿宋"/>
          <w:bCs/>
          <w:color w:val="000000" w:themeColor="text1"/>
          <w:kern w:val="0"/>
          <w:sz w:val="32"/>
          <w:szCs w:val="32"/>
          <w:u w:val="none"/>
          <w14:textFill>
            <w14:solidFill>
              <w14:schemeClr w14:val="tx1"/>
            </w14:solidFill>
          </w14:textFill>
        </w:rPr>
        <w:t>台，单位价值100万元以上专用设备</w:t>
      </w:r>
      <w:r>
        <w:rPr>
          <w:rFonts w:hint="eastAsia" w:ascii="仿宋" w:hAnsi="仿宋" w:eastAsia="仿宋" w:cs="仿宋"/>
          <w:bCs/>
          <w:color w:val="000000" w:themeColor="text1"/>
          <w:kern w:val="0"/>
          <w:sz w:val="32"/>
          <w:szCs w:val="32"/>
          <w:u w:val="none"/>
          <w:lang w:val="en-US" w:eastAsia="zh-CN"/>
          <w14:textFill>
            <w14:solidFill>
              <w14:schemeClr w14:val="tx1"/>
            </w14:solidFill>
          </w14:textFill>
        </w:rPr>
        <w:t>0</w:t>
      </w:r>
      <w:r>
        <w:rPr>
          <w:rFonts w:hint="eastAsia" w:ascii="仿宋" w:hAnsi="仿宋" w:eastAsia="仿宋" w:cs="仿宋"/>
          <w:bCs/>
          <w:color w:val="000000" w:themeColor="text1"/>
          <w:kern w:val="0"/>
          <w:sz w:val="32"/>
          <w:szCs w:val="32"/>
          <w:u w:val="none"/>
          <w14:textFill>
            <w14:solidFill>
              <w14:schemeClr w14:val="tx1"/>
            </w14:solidFill>
          </w14:textFill>
        </w:rPr>
        <w:t>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 w:beforeAutospacing="0" w:after="24" w:afterAutospacing="0" w:line="600" w:lineRule="exact"/>
        <w:ind w:right="0" w:firstLine="643" w:firstLineChars="200"/>
        <w:jc w:val="both"/>
        <w:textAlignment w:val="auto"/>
        <w:rPr>
          <w:rFonts w:hint="eastAsia" w:ascii="仿宋" w:hAnsi="仿宋" w:eastAsia="仿宋" w:cs="仿宋"/>
          <w:kern w:val="2"/>
          <w:sz w:val="32"/>
          <w:szCs w:val="32"/>
          <w:highlight w:val="none"/>
          <w:lang w:val="en-US" w:eastAsia="zh-CN" w:bidi="ar-SA"/>
        </w:rPr>
      </w:pPr>
      <w:r>
        <w:rPr>
          <w:rFonts w:hint="eastAsia" w:ascii="仿宋" w:hAnsi="仿宋" w:eastAsia="仿宋" w:cs="仿宋"/>
          <w:b/>
          <w:bCs/>
          <w:kern w:val="0"/>
          <w:sz w:val="32"/>
          <w:szCs w:val="32"/>
        </w:rPr>
        <w:t>（六）预算绩效目标说明：</w:t>
      </w:r>
      <w:r>
        <w:rPr>
          <w:rFonts w:hint="eastAsia" w:ascii="仿宋" w:hAnsi="仿宋" w:eastAsia="仿宋" w:cs="仿宋"/>
          <w:kern w:val="2"/>
          <w:sz w:val="32"/>
          <w:szCs w:val="32"/>
          <w:highlight w:val="none"/>
          <w:lang w:val="en-US" w:eastAsia="zh-CN" w:bidi="ar-SA"/>
        </w:rPr>
        <w:t>按照市本级预算绩效管理工按照市本级预算绩效管理工作的总体要求，2021年开福区现代服务业发展中心整体支出373.13万元，</w:t>
      </w:r>
      <w:r>
        <w:rPr>
          <w:rFonts w:hint="eastAsia" w:ascii="仿宋" w:hAnsi="仿宋" w:eastAsia="仿宋" w:cs="仿宋"/>
          <w:bCs/>
          <w:color w:val="000000" w:themeColor="text1"/>
          <w:kern w:val="0"/>
          <w:sz w:val="32"/>
          <w:szCs w:val="32"/>
          <w:u w:val="none"/>
          <w14:textFill>
            <w14:solidFill>
              <w14:schemeClr w14:val="tx1"/>
            </w14:solidFill>
          </w14:textFill>
        </w:rPr>
        <w:t>其中，基本支出267.77万元，项目支出</w:t>
      </w:r>
      <w:r>
        <w:rPr>
          <w:rFonts w:hint="eastAsia" w:ascii="仿宋" w:hAnsi="仿宋" w:eastAsia="仿宋" w:cs="仿宋"/>
          <w:color w:val="000000" w:themeColor="text1"/>
          <w:sz w:val="32"/>
          <w:szCs w:val="32"/>
          <w:u w:val="none"/>
          <w14:textFill>
            <w14:solidFill>
              <w14:schemeClr w14:val="tx1"/>
            </w14:solidFill>
          </w14:textFill>
        </w:rPr>
        <w:t>105.36</w:t>
      </w:r>
      <w:r>
        <w:rPr>
          <w:rFonts w:hint="eastAsia" w:ascii="仿宋" w:hAnsi="仿宋" w:eastAsia="仿宋" w:cs="仿宋"/>
          <w:bCs/>
          <w:color w:val="000000" w:themeColor="text1"/>
          <w:kern w:val="0"/>
          <w:sz w:val="32"/>
          <w:szCs w:val="32"/>
          <w:u w:val="none"/>
          <w14:textFill>
            <w14:solidFill>
              <w14:schemeClr w14:val="tx1"/>
            </w14:solidFill>
          </w14:textFill>
        </w:rPr>
        <w:t>万元</w:t>
      </w:r>
      <w:r>
        <w:rPr>
          <w:rFonts w:hint="eastAsia" w:ascii="仿宋" w:hAnsi="仿宋" w:eastAsia="仿宋" w:cs="仿宋"/>
          <w:bCs/>
          <w:color w:val="000000" w:themeColor="text1"/>
          <w:kern w:val="0"/>
          <w:sz w:val="32"/>
          <w:szCs w:val="32"/>
          <w14:textFill>
            <w14:solidFill>
              <w14:schemeClr w14:val="tx1"/>
            </w14:solidFill>
          </w14:textFill>
        </w:rPr>
        <w:t>，</w:t>
      </w:r>
      <w:r>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t>全部实行</w:t>
      </w:r>
      <w:r>
        <w:rPr>
          <w:rFonts w:hint="eastAsia" w:ascii="仿宋" w:hAnsi="仿宋" w:eastAsia="仿宋" w:cs="仿宋"/>
          <w:kern w:val="2"/>
          <w:sz w:val="32"/>
          <w:szCs w:val="32"/>
          <w:highlight w:val="none"/>
          <w:lang w:val="en-US" w:eastAsia="zh-CN" w:bidi="ar-SA"/>
        </w:rPr>
        <w:t>整体支出绩效目标管理，编报绩效目标的项目8个，涉及项目支出105.36万元，其中：（部门）楼宇经济工作经费19万元，楼宇网络信息平台维护4.75万元，开福楼宇APP运行维护费4.75万元，楼宇促进会专用经费9.5万元，文创产业相关工作经费19万元，楼宇经济的媒体宣传费19万元，部门外迁办公费22.88万元，部门外迁办公餐补经费6.48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 w:beforeAutospacing="0" w:after="24" w:afterAutospacing="0" w:line="600" w:lineRule="exact"/>
        <w:ind w:right="0" w:firstLine="640" w:firstLineChars="200"/>
        <w:jc w:val="both"/>
        <w:textAlignment w:val="auto"/>
        <w:rPr>
          <w:rFonts w:hint="eastAsia" w:ascii="黑体" w:hAnsi="黑体" w:eastAsia="黑体" w:cs="黑体"/>
          <w:kern w:val="2"/>
          <w:sz w:val="32"/>
          <w:szCs w:val="32"/>
          <w:highlight w:val="none"/>
          <w:lang w:val="en-US" w:eastAsia="zh-CN" w:bidi="ar-SA"/>
        </w:rPr>
      </w:pPr>
      <w:r>
        <w:rPr>
          <w:rFonts w:hint="eastAsia" w:ascii="黑体" w:hAnsi="黑体" w:eastAsia="黑体" w:cs="黑体"/>
          <w:kern w:val="2"/>
          <w:sz w:val="32"/>
          <w:szCs w:val="32"/>
          <w:highlight w:val="none"/>
          <w:lang w:val="en-US" w:eastAsia="zh-CN" w:bidi="ar-SA"/>
        </w:rPr>
        <w:t>七、名词解释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 w:beforeAutospacing="0" w:after="24" w:afterAutospacing="0" w:line="600" w:lineRule="exact"/>
        <w:ind w:right="0" w:firstLine="640" w:firstLineChars="200"/>
        <w:jc w:val="both"/>
        <w:textAlignment w:val="auto"/>
        <w:rPr>
          <w:rFonts w:hint="eastAsia" w:ascii="仿宋" w:hAnsi="仿宋" w:eastAsia="仿宋" w:cs="仿宋"/>
          <w:kern w:val="2"/>
          <w:sz w:val="32"/>
          <w:szCs w:val="32"/>
          <w:highlight w:val="none"/>
          <w:lang w:val="en-US" w:eastAsia="zh-CN" w:bidi="ar-SA"/>
        </w:rPr>
      </w:pPr>
      <w:r>
        <w:rPr>
          <w:rFonts w:hint="eastAsia" w:ascii="仿宋" w:hAnsi="仿宋" w:eastAsia="仿宋" w:cs="仿宋"/>
          <w:kern w:val="2"/>
          <w:sz w:val="32"/>
          <w:szCs w:val="32"/>
          <w:highlight w:val="none"/>
          <w:lang w:val="en-US" w:eastAsia="zh-CN" w:bidi="ar-SA"/>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 w:beforeAutospacing="0" w:after="24" w:afterAutospacing="0" w:line="600" w:lineRule="exact"/>
        <w:ind w:right="0" w:firstLine="640" w:firstLineChars="200"/>
        <w:jc w:val="both"/>
        <w:textAlignment w:val="auto"/>
        <w:rPr>
          <w:rFonts w:hint="eastAsia" w:ascii="仿宋" w:hAnsi="仿宋" w:eastAsia="仿宋" w:cs="仿宋"/>
          <w:kern w:val="2"/>
          <w:sz w:val="32"/>
          <w:szCs w:val="32"/>
          <w:highlight w:val="none"/>
          <w:lang w:val="en-US" w:eastAsia="zh-CN" w:bidi="ar-SA"/>
        </w:rPr>
      </w:pPr>
      <w:r>
        <w:rPr>
          <w:rFonts w:hint="eastAsia" w:ascii="仿宋" w:hAnsi="仿宋" w:eastAsia="仿宋" w:cs="仿宋"/>
          <w:kern w:val="2"/>
          <w:sz w:val="32"/>
          <w:szCs w:val="32"/>
          <w:highlight w:val="none"/>
          <w:lang w:val="en-US" w:eastAsia="zh-CN" w:bidi="ar-SA"/>
        </w:rPr>
        <w:t>2、“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kern w:val="2"/>
          <w:sz w:val="32"/>
          <w:szCs w:val="32"/>
          <w:highlight w:val="none"/>
          <w:lang w:val="en-US" w:eastAsia="zh-CN" w:bidi="ar-SA"/>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kern w:val="2"/>
          <w:sz w:val="32"/>
          <w:szCs w:val="32"/>
          <w:highlight w:val="none"/>
          <w:lang w:val="en-US" w:eastAsia="zh-CN" w:bidi="ar-SA"/>
        </w:rPr>
      </w:pPr>
    </w:p>
    <w:p>
      <w:pPr>
        <w:keepNext w:val="0"/>
        <w:keepLines w:val="0"/>
        <w:pageBreakBefore w:val="0"/>
        <w:widowControl/>
        <w:kinsoku/>
        <w:wordWrap/>
        <w:overflowPunct/>
        <w:topLinePunct w:val="0"/>
        <w:autoSpaceDE/>
        <w:autoSpaceDN/>
        <w:bidi w:val="0"/>
        <w:adjustRightInd/>
        <w:snapToGrid/>
        <w:spacing w:line="600" w:lineRule="exact"/>
        <w:ind w:firstLine="883" w:firstLineChars="200"/>
        <w:jc w:val="center"/>
        <w:textAlignment w:val="auto"/>
        <w:rPr>
          <w:rFonts w:hint="eastAsia" w:ascii="仿宋" w:hAnsi="仿宋" w:eastAsia="仿宋" w:cs="仿宋"/>
          <w:b/>
          <w:bCs w:val="0"/>
          <w:kern w:val="0"/>
          <w:sz w:val="36"/>
          <w:szCs w:val="36"/>
        </w:rPr>
      </w:pPr>
      <w:r>
        <w:rPr>
          <w:rFonts w:hint="eastAsia" w:ascii="黑体" w:hAnsi="黑体" w:eastAsia="黑体" w:cs="黑体"/>
          <w:b/>
          <w:bCs w:val="0"/>
          <w:kern w:val="0"/>
          <w:sz w:val="44"/>
          <w:szCs w:val="44"/>
        </w:rPr>
        <w:t>第二部分 2021年部门预算表</w:t>
      </w:r>
    </w:p>
    <w:p>
      <w:pPr>
        <w:rPr>
          <w:rFonts w:hint="eastAsia" w:ascii="仿宋" w:hAnsi="仿宋" w:eastAsia="仿宋" w:cs="仿宋"/>
          <w:kern w:val="2"/>
          <w:sz w:val="32"/>
          <w:szCs w:val="32"/>
          <w:highlight w:val="none"/>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A0957C"/>
    <w:multiLevelType w:val="singleLevel"/>
    <w:tmpl w:val="19A0957C"/>
    <w:lvl w:ilvl="0" w:tentative="0">
      <w:start w:val="1"/>
      <w:numFmt w:val="chineseCounting"/>
      <w:suff w:val="space"/>
      <w:lvlText w:val="第%1部分"/>
      <w:lvlJc w:val="left"/>
      <w:rPr>
        <w:rFonts w:hint="eastAsia"/>
      </w:rPr>
    </w:lvl>
  </w:abstractNum>
  <w:abstractNum w:abstractNumId="1">
    <w:nsid w:val="6A01030D"/>
    <w:multiLevelType w:val="singleLevel"/>
    <w:tmpl w:val="6A01030D"/>
    <w:lvl w:ilvl="0" w:tentative="0">
      <w:start w:val="1"/>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6AAB4509"/>
    <w:rsid w:val="11023A57"/>
    <w:rsid w:val="1E226748"/>
    <w:rsid w:val="2F447BE5"/>
    <w:rsid w:val="32C959A4"/>
    <w:rsid w:val="424F6463"/>
    <w:rsid w:val="45AC1385"/>
    <w:rsid w:val="52281F53"/>
    <w:rsid w:val="65F60538"/>
    <w:rsid w:val="6AAB4509"/>
    <w:rsid w:val="7CE76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pPr>
    <w:rPr>
      <w:szCs w:val="20"/>
    </w:rPr>
  </w:style>
  <w:style w:type="paragraph" w:styleId="4">
    <w:name w:val="Body Text"/>
    <w:basedOn w:val="1"/>
    <w:qFormat/>
    <w:uiPriority w:val="1"/>
    <w:rPr>
      <w:sz w:val="32"/>
      <w:szCs w:val="32"/>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2280</Words>
  <Characters>2501</Characters>
  <Lines>0</Lines>
  <Paragraphs>0</Paragraphs>
  <TotalTime>7</TotalTime>
  <ScaleCrop>false</ScaleCrop>
  <LinksUpToDate>false</LinksUpToDate>
  <CharactersWithSpaces>2533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2022-06-28T09:04:00Z</dcterms:created>
  <dc:creator>燕子</dc:creator>
  <cp:lastModifiedBy>鱼仔</cp:lastModifiedBy>
  <dcterms:modified xsi:type="dcterms:W3CDTF">2022-08-19T04:12:10Z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7815DE4EED2E476495B474E9310D30A6</vt:lpwstr>
  </property>
</Properties>
</file>