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30" w:beforeAutospacing="0" w:after="30" w:afterAutospacing="0" w:line="600" w:lineRule="exact"/>
        <w:ind w:right="0"/>
        <w:jc w:val="center"/>
        <w:textAlignment w:val="auto"/>
        <w:rPr>
          <w:rFonts w:hint="eastAsia" w:ascii="黑体" w:hAnsi="黑体" w:eastAsia="黑体" w:cs="黑体"/>
          <w:color w:val="auto"/>
          <w:kern w:val="2"/>
          <w:sz w:val="44"/>
          <w:szCs w:val="44"/>
          <w:lang w:val="en-US" w:eastAsia="zh-CN" w:bidi="ar-SA"/>
        </w:rPr>
      </w:pPr>
      <w:bookmarkStart w:id="0" w:name="_GoBack"/>
      <w:r>
        <w:rPr>
          <w:rFonts w:hint="eastAsia" w:ascii="黑体" w:hAnsi="黑体" w:eastAsia="黑体" w:cs="黑体"/>
          <w:color w:val="auto"/>
          <w:kern w:val="2"/>
          <w:sz w:val="44"/>
          <w:szCs w:val="44"/>
          <w:lang w:val="en-US" w:eastAsia="zh-CN" w:bidi="ar-SA"/>
        </w:rPr>
        <w:t>2020年长沙市开福区物流与口岸服务中心部门决算</w:t>
      </w: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hint="eastAsia" w:ascii="Times New Roman" w:hAnsi="Times New Roman" w:eastAsia="黑体" w:cs="Times New Roman"/>
          <w:bCs/>
          <w:color w:val="auto"/>
          <w:kern w:val="0"/>
          <w:sz w:val="32"/>
          <w:szCs w:val="32"/>
        </w:rPr>
      </w:pPr>
      <w:r>
        <w:rPr>
          <w:rFonts w:hint="eastAsia" w:ascii="Times New Roman" w:hAnsi="Times New Roman" w:eastAsia="黑体" w:cs="Times New Roman"/>
          <w:bCs/>
          <w:color w:val="auto"/>
          <w:kern w:val="0"/>
          <w:sz w:val="32"/>
          <w:szCs w:val="32"/>
        </w:rPr>
        <w:t>目 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30" w:beforeAutospacing="0" w:after="30" w:afterAutospacing="0" w:line="600" w:lineRule="exact"/>
        <w:ind w:right="0"/>
        <w:jc w:val="both"/>
        <w:textAlignment w:val="auto"/>
        <w:rPr>
          <w:rFonts w:hint="eastAsia" w:ascii="黑体" w:hAnsi="黑体" w:eastAsia="黑体" w:cs="黑体"/>
          <w:b/>
          <w:bCs/>
          <w:color w:val="auto"/>
          <w:kern w:val="0"/>
          <w:sz w:val="32"/>
          <w:szCs w:val="32"/>
          <w:lang w:val="en-US" w:eastAsia="zh-CN" w:bidi="ar-SA"/>
        </w:rPr>
      </w:pPr>
      <w:r>
        <w:rPr>
          <w:rFonts w:hint="eastAsia" w:ascii="黑体" w:hAnsi="黑体" w:eastAsia="黑体" w:cs="黑体"/>
          <w:b/>
          <w:bCs/>
          <w:color w:val="auto"/>
          <w:kern w:val="0"/>
          <w:sz w:val="32"/>
          <w:szCs w:val="32"/>
          <w:lang w:val="en-US" w:eastAsia="zh-CN" w:bidi="ar-SA"/>
        </w:rPr>
        <w:t>第一部分 长沙市开福区物流与口岸服务中心部门概况</w:t>
      </w:r>
    </w:p>
    <w:p>
      <w:pPr>
        <w:pStyle w:val="8"/>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一、部门职责</w:t>
      </w:r>
    </w:p>
    <w:p>
      <w:pPr>
        <w:pStyle w:val="8"/>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二、机构设置</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第二部分 部门决算表</w:t>
      </w:r>
    </w:p>
    <w:p>
      <w:pPr>
        <w:pStyle w:val="8"/>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一、收入支出决算总表</w:t>
      </w:r>
    </w:p>
    <w:p>
      <w:pPr>
        <w:pStyle w:val="8"/>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二、收入决算表</w:t>
      </w:r>
    </w:p>
    <w:p>
      <w:pPr>
        <w:pStyle w:val="8"/>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三、支出决算表</w:t>
      </w:r>
    </w:p>
    <w:p>
      <w:pPr>
        <w:pStyle w:val="8"/>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四、财政拨款收入支出决算总表</w:t>
      </w:r>
    </w:p>
    <w:p>
      <w:pPr>
        <w:pStyle w:val="8"/>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五、一般公共预算财政拨款支出决算表</w:t>
      </w:r>
    </w:p>
    <w:p>
      <w:pPr>
        <w:pStyle w:val="8"/>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六、一般公共预算财政拨款基本支出决算表</w:t>
      </w:r>
    </w:p>
    <w:p>
      <w:pPr>
        <w:pStyle w:val="8"/>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七、一般公共预算财政拨款“三公”经费支出决算表</w:t>
      </w:r>
    </w:p>
    <w:p>
      <w:pPr>
        <w:pStyle w:val="8"/>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八、政府性基金预算财政拨款收入支出决算表</w:t>
      </w:r>
    </w:p>
    <w:p>
      <w:pPr>
        <w:pStyle w:val="8"/>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rPr>
        <w:t>九、</w:t>
      </w:r>
      <w:r>
        <w:rPr>
          <w:rFonts w:hint="eastAsia" w:ascii="仿宋" w:hAnsi="仿宋" w:eastAsia="仿宋" w:cs="仿宋"/>
          <w:color w:val="auto"/>
          <w:sz w:val="32"/>
          <w:szCs w:val="32"/>
          <w:highlight w:val="none"/>
        </w:rPr>
        <w:t>国有资本经营预算财政拨款支出决算表</w:t>
      </w:r>
    </w:p>
    <w:p>
      <w:pPr>
        <w:keepNext w:val="0"/>
        <w:keepLines w:val="0"/>
        <w:pageBreakBefore w:val="0"/>
        <w:widowControl/>
        <w:kinsoku/>
        <w:wordWrap/>
        <w:overflowPunct/>
        <w:topLinePunct w:val="0"/>
        <w:bidi w:val="0"/>
        <w:snapToGrid/>
        <w:spacing w:line="600" w:lineRule="exact"/>
        <w:jc w:val="left"/>
        <w:textAlignment w:val="auto"/>
        <w:rPr>
          <w:rFonts w:eastAsia="仿宋_GB2312"/>
          <w:b/>
          <w:bCs/>
          <w:color w:val="auto"/>
          <w:kern w:val="0"/>
          <w:sz w:val="32"/>
          <w:szCs w:val="32"/>
        </w:rPr>
      </w:pPr>
      <w:r>
        <w:rPr>
          <w:rFonts w:hint="eastAsia" w:ascii="黑体" w:hAnsi="黑体" w:eastAsia="黑体" w:cs="黑体"/>
          <w:b/>
          <w:bCs/>
          <w:color w:val="auto"/>
          <w:kern w:val="0"/>
          <w:sz w:val="32"/>
          <w:szCs w:val="32"/>
        </w:rPr>
        <w:t xml:space="preserve">第三部分 </w:t>
      </w:r>
      <w:r>
        <w:rPr>
          <w:rFonts w:hint="eastAsia" w:ascii="黑体" w:hAnsi="黑体" w:eastAsia="黑体" w:cs="黑体"/>
          <w:b/>
          <w:bCs/>
          <w:color w:val="auto"/>
          <w:kern w:val="0"/>
          <w:sz w:val="32"/>
          <w:szCs w:val="32"/>
          <w:lang w:val="en-US" w:eastAsia="zh-CN"/>
        </w:rPr>
        <w:t>2020</w:t>
      </w:r>
      <w:r>
        <w:rPr>
          <w:rFonts w:hint="eastAsia" w:ascii="黑体" w:hAnsi="黑体" w:eastAsia="黑体" w:cs="黑体"/>
          <w:b/>
          <w:bCs/>
          <w:color w:val="auto"/>
          <w:kern w:val="0"/>
          <w:sz w:val="32"/>
          <w:szCs w:val="32"/>
        </w:rPr>
        <w:t>年度部门决算情况说明</w:t>
      </w:r>
    </w:p>
    <w:p>
      <w:pPr>
        <w:pStyle w:val="8"/>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一、收入支出决算总体情况说明</w:t>
      </w:r>
    </w:p>
    <w:p>
      <w:pPr>
        <w:pStyle w:val="8"/>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二、收入决算情况说明</w:t>
      </w:r>
    </w:p>
    <w:p>
      <w:pPr>
        <w:pStyle w:val="8"/>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三、支出决算情况说明</w:t>
      </w:r>
    </w:p>
    <w:p>
      <w:pPr>
        <w:pStyle w:val="8"/>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四、财政拨款收入支出决算总体情况说明</w:t>
      </w:r>
    </w:p>
    <w:p>
      <w:pPr>
        <w:pStyle w:val="8"/>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五、一般公共预算财政拨款支出决算情况说明</w:t>
      </w:r>
    </w:p>
    <w:p>
      <w:pPr>
        <w:pStyle w:val="8"/>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六、一般公共预算财政拨款基本支出决算情况说明</w:t>
      </w:r>
    </w:p>
    <w:p>
      <w:pPr>
        <w:pStyle w:val="8"/>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七、一般公共预算财政拨款三公经费支出决算情况说明</w:t>
      </w:r>
    </w:p>
    <w:p>
      <w:pPr>
        <w:pStyle w:val="8"/>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八、政府性基金预算收入支出决算情况</w:t>
      </w:r>
    </w:p>
    <w:p>
      <w:pPr>
        <w:pStyle w:val="8"/>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九、关于2020年度预算绩效情况的说明</w:t>
      </w:r>
    </w:p>
    <w:p>
      <w:pPr>
        <w:pStyle w:val="8"/>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十、</w:t>
      </w:r>
      <w:r>
        <w:rPr>
          <w:rFonts w:hint="eastAsia" w:ascii="仿宋" w:hAnsi="仿宋" w:eastAsia="仿宋" w:cs="仿宋"/>
          <w:color w:val="auto"/>
          <w:kern w:val="0"/>
          <w:sz w:val="32"/>
          <w:szCs w:val="32"/>
        </w:rPr>
        <w:t>其他重要事项情况说明</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第四部分 名词解释</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第五部分 附件</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color w:val="auto"/>
          <w:kern w:val="0"/>
          <w:sz w:val="32"/>
          <w:szCs w:val="32"/>
        </w:rPr>
      </w:pPr>
    </w:p>
    <w:p>
      <w:pPr>
        <w:keepNext w:val="0"/>
        <w:keepLines w:val="0"/>
        <w:pageBreakBefore w:val="0"/>
        <w:widowControl/>
        <w:kinsoku/>
        <w:wordWrap/>
        <w:overflowPunct/>
        <w:topLinePunct w:val="0"/>
        <w:bidi w:val="0"/>
        <w:snapToGrid/>
        <w:spacing w:line="600" w:lineRule="exact"/>
        <w:jc w:val="center"/>
        <w:textAlignment w:val="auto"/>
        <w:rPr>
          <w:rFonts w:hint="eastAsia" w:ascii="黑体" w:hAnsi="黑体" w:eastAsia="黑体" w:cs="黑体"/>
          <w:b/>
          <w:bCs w:val="0"/>
          <w:color w:val="auto"/>
          <w:kern w:val="0"/>
          <w:sz w:val="44"/>
          <w:szCs w:val="44"/>
          <w:lang w:val="en-US" w:eastAsia="zh-CN"/>
        </w:rPr>
      </w:pPr>
      <w:r>
        <w:rPr>
          <w:rFonts w:hint="eastAsia" w:ascii="黑体" w:hAnsi="黑体" w:eastAsia="黑体" w:cs="黑体"/>
          <w:b/>
          <w:bCs w:val="0"/>
          <w:color w:val="auto"/>
          <w:kern w:val="0"/>
          <w:sz w:val="44"/>
          <w:szCs w:val="44"/>
          <w:lang w:val="en-US" w:eastAsia="zh-CN"/>
        </w:rPr>
        <w:t>第一部分 长沙市开福区物流与口岸服务中心部门概况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b w:val="0"/>
          <w:bCs/>
          <w:color w:val="auto"/>
          <w:kern w:val="0"/>
          <w:sz w:val="32"/>
          <w:szCs w:val="32"/>
          <w:lang w:val="en-US" w:eastAsia="zh-CN" w:bidi="ar-SA"/>
        </w:rPr>
      </w:pPr>
      <w:r>
        <w:rPr>
          <w:rFonts w:hint="eastAsia" w:ascii="黑体" w:hAnsi="黑体" w:eastAsia="黑体" w:cs="黑体"/>
          <w:b w:val="0"/>
          <w:bCs/>
          <w:color w:val="auto"/>
          <w:kern w:val="0"/>
          <w:sz w:val="32"/>
          <w:szCs w:val="32"/>
          <w:lang w:val="en-US" w:eastAsia="zh-CN" w:bidi="ar-SA"/>
        </w:rPr>
        <w:t>一、部门职责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一）贯彻执行国家、省、市、区关于物流与口岸工作的方针、政策和法律、法规、规章；参与制定和落实全区物流产业与口岸平台中长期发展规划和政策措施；研究分析全区物流产业与口岸平台发展情况，营造规范有序的市场环境，为区委区政府把握物流产业与口岸平台发展方向、做出决策提供科学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二）负责协调全区物流产业发展的相关工作，掌握全区物流产业发展的基本情况；推进物流高质量发展和国家物流枢纽建设；推进区域内和跨区域物流合作相关工作；探索现代物流管理模式，推进物流标准化、信息化、智能化建设，协同推进供应链体系建设；促进物流产业与实体经济深度融合发展，推进物流降本增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三）做好物流园区发展和重大物流项目建设的相关服务工作；开展重大物流项目的招商引资工作；指导辖区企业物流的服务外包工作，推动企业内部物流社会化；负责省、市物流专项资金的申报；负责全区物流产业发展情况的综合统计和相关信息发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（四）落实多式联运政策，协调多式联运基础设施的建设工作；协同推进铁路、水路、公路等物流通道的开通；参与铁路、水路、公路、邮政等交通运输的综合协调和衔接工作。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五）参与制定全区水运、港口发展规划；协调相关部门落实市、区口岸平台发展规划和政策措施；协调口岸作业区和指定监管场所的相关工作；协调海关、税务、外汇等联检部门在区域内开展相关业务；协助口岸单位完善口岸设施及功能；协同推进建立大通关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六）开展口岸平台的招商引资工作；负责省、市口岸专项资金的申报；组织开展辖区口岸的对外宣传工作；负责口岸经济运行情况的统计分析和预测预报工作；提出促进外向型经济发展的政策建议和措施；协同推进中国（长沙）国际贸易“单一窗口”的应用，为跨境电商产业发展提供通关便利化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（七）完成区委、区政府交办的其他任务。</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二、机构设置及决算单位构成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（一）内设机构设置。</w:t>
      </w:r>
      <w:r>
        <w:rPr>
          <w:rFonts w:hint="eastAsia" w:ascii="仿宋" w:hAnsi="仿宋" w:eastAsia="仿宋" w:cs="仿宋"/>
          <w:color w:val="auto"/>
          <w:kern w:val="0"/>
          <w:sz w:val="32"/>
          <w:szCs w:val="32"/>
          <w:lang w:val="en-US" w:eastAsia="zh-CN" w:bidi="ar-SA"/>
        </w:rPr>
        <w:t>长沙市开福区物流与口岸服务中心单位内设机构包括：1个事业单位及0个二级机构组成。设以下内设机构：综合科、物流产业科、口岸发展科。本部门编制数7人，实有在岗人数7人；离退休人数0人，其中离休人员0人，退休人员0人。编外长期聘用人员3人，其中政府雇员1人，临聘人员2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（二）决算单位构成。</w:t>
      </w:r>
      <w:r>
        <w:rPr>
          <w:rFonts w:hint="eastAsia" w:ascii="仿宋" w:hAnsi="仿宋" w:eastAsia="仿宋" w:cs="仿宋"/>
          <w:color w:val="auto"/>
          <w:kern w:val="0"/>
          <w:sz w:val="32"/>
          <w:szCs w:val="32"/>
          <w:lang w:val="en-US" w:eastAsia="zh-CN" w:bidi="ar-SA"/>
        </w:rPr>
        <w:t>长沙市开福区物流与口岸服务中心2020年部门决算汇总公开单位构成包括：本单位本级。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三、涉及机构改革部门情况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本单位为2019年新成立单位。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p>
    <w:p>
      <w:pPr>
        <w:pStyle w:val="8"/>
        <w:keepNext w:val="0"/>
        <w:keepLines w:val="0"/>
        <w:pageBreakBefore w:val="0"/>
        <w:numPr>
          <w:ilvl w:val="0"/>
          <w:numId w:val="1"/>
        </w:numPr>
        <w:kinsoku/>
        <w:wordWrap/>
        <w:overflowPunct/>
        <w:topLinePunct w:val="0"/>
        <w:bidi w:val="0"/>
        <w:snapToGrid/>
        <w:spacing w:line="600" w:lineRule="exact"/>
        <w:ind w:firstLine="883" w:firstLineChars="200"/>
        <w:jc w:val="center"/>
        <w:textAlignment w:val="auto"/>
        <w:rPr>
          <w:rFonts w:hint="eastAsia" w:ascii="黑体" w:hAnsi="黑体" w:eastAsia="黑体" w:cs="黑体"/>
          <w:b/>
          <w:bCs/>
          <w:color w:val="auto"/>
          <w:sz w:val="44"/>
          <w:szCs w:val="44"/>
        </w:rPr>
      </w:pPr>
      <w:r>
        <w:rPr>
          <w:rFonts w:hint="eastAsia" w:ascii="黑体" w:hAnsi="黑体" w:eastAsia="黑体" w:cs="黑体"/>
          <w:b/>
          <w:bCs/>
          <w:color w:val="auto"/>
          <w:sz w:val="44"/>
          <w:szCs w:val="44"/>
        </w:rPr>
        <w:t>部门决算表</w:t>
      </w:r>
    </w:p>
    <w:p>
      <w:pPr>
        <w:pStyle w:val="8"/>
        <w:keepNext w:val="0"/>
        <w:keepLines w:val="0"/>
        <w:pageBreakBefore w:val="0"/>
        <w:numPr>
          <w:ilvl w:val="0"/>
          <w:numId w:val="0"/>
        </w:numPr>
        <w:kinsoku/>
        <w:wordWrap/>
        <w:overflowPunct/>
        <w:topLinePunct w:val="0"/>
        <w:bidi w:val="0"/>
        <w:snapToGrid/>
        <w:spacing w:line="600" w:lineRule="exact"/>
        <w:ind w:firstLine="643" w:firstLineChars="200"/>
        <w:jc w:val="center"/>
        <w:textAlignment w:val="auto"/>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lang w:val="en-US" w:eastAsia="zh-CN"/>
        </w:rPr>
        <w:t>详见附件</w:t>
      </w:r>
      <w:r>
        <w:rPr>
          <w:rFonts w:hint="eastAsia" w:ascii="仿宋" w:hAnsi="仿宋" w:eastAsia="仿宋" w:cs="仿宋"/>
          <w:b/>
          <w:bCs/>
          <w:color w:val="auto"/>
          <w:sz w:val="32"/>
          <w:szCs w:val="32"/>
          <w:lang w:eastAsia="zh-CN"/>
        </w:rPr>
        <w:t>）</w:t>
      </w:r>
    </w:p>
    <w:p>
      <w:pPr>
        <w:pStyle w:val="8"/>
        <w:keepNext w:val="0"/>
        <w:keepLines w:val="0"/>
        <w:pageBreakBefore w:val="0"/>
        <w:numPr>
          <w:ilvl w:val="0"/>
          <w:numId w:val="0"/>
        </w:numPr>
        <w:kinsoku/>
        <w:wordWrap/>
        <w:overflowPunct/>
        <w:topLinePunct w:val="0"/>
        <w:bidi w:val="0"/>
        <w:snapToGrid/>
        <w:spacing w:line="600" w:lineRule="exact"/>
        <w:ind w:firstLine="643" w:firstLineChars="200"/>
        <w:jc w:val="center"/>
        <w:textAlignment w:val="auto"/>
        <w:rPr>
          <w:rFonts w:hint="eastAsia" w:ascii="仿宋" w:hAnsi="仿宋" w:eastAsia="仿宋" w:cs="仿宋"/>
          <w:b/>
          <w:bCs/>
          <w:color w:val="auto"/>
          <w:sz w:val="32"/>
          <w:szCs w:val="32"/>
          <w:lang w:eastAsia="zh-CN"/>
        </w:rPr>
      </w:pPr>
    </w:p>
    <w:p>
      <w:pPr>
        <w:keepNext w:val="0"/>
        <w:keepLines w:val="0"/>
        <w:pageBreakBefore w:val="0"/>
        <w:widowControl/>
        <w:kinsoku/>
        <w:wordWrap/>
        <w:overflowPunct/>
        <w:topLinePunct w:val="0"/>
        <w:bidi w:val="0"/>
        <w:snapToGrid/>
        <w:spacing w:line="600" w:lineRule="exact"/>
        <w:ind w:firstLine="883" w:firstLineChars="200"/>
        <w:jc w:val="center"/>
        <w:textAlignment w:val="auto"/>
        <w:rPr>
          <w:rFonts w:hAnsi="黑体" w:cs="Times New Roman"/>
          <w:color w:val="auto"/>
          <w:sz w:val="32"/>
          <w:szCs w:val="32"/>
        </w:rPr>
      </w:pPr>
      <w:r>
        <w:rPr>
          <w:rFonts w:hint="eastAsia" w:ascii="黑体" w:hAnsi="黑体" w:eastAsia="黑体" w:cs="黑体"/>
          <w:b/>
          <w:bCs w:val="0"/>
          <w:color w:val="auto"/>
          <w:kern w:val="0"/>
          <w:sz w:val="44"/>
          <w:szCs w:val="44"/>
        </w:rPr>
        <w:t xml:space="preserve">第三部分 </w:t>
      </w:r>
      <w:r>
        <w:rPr>
          <w:rFonts w:hint="eastAsia" w:ascii="黑体" w:hAnsi="黑体" w:eastAsia="黑体" w:cs="黑体"/>
          <w:b/>
          <w:bCs w:val="0"/>
          <w:color w:val="auto"/>
          <w:kern w:val="0"/>
          <w:sz w:val="44"/>
          <w:szCs w:val="44"/>
          <w:lang w:val="en-US" w:eastAsia="zh-CN"/>
        </w:rPr>
        <w:t>2020</w:t>
      </w:r>
      <w:r>
        <w:rPr>
          <w:rFonts w:hint="eastAsia" w:ascii="黑体" w:hAnsi="黑体" w:eastAsia="黑体" w:cs="黑体"/>
          <w:b/>
          <w:bCs w:val="0"/>
          <w:color w:val="auto"/>
          <w:kern w:val="0"/>
          <w:sz w:val="44"/>
          <w:szCs w:val="44"/>
        </w:rPr>
        <w:t>年度部门决算情况说明</w:t>
      </w:r>
    </w:p>
    <w:p>
      <w:pPr>
        <w:pStyle w:val="8"/>
        <w:keepNext w:val="0"/>
        <w:keepLines w:val="0"/>
        <w:pageBreakBefore w:val="0"/>
        <w:kinsoku/>
        <w:wordWrap/>
        <w:overflowPunct/>
        <w:topLinePunct w:val="0"/>
        <w:bidi w:val="0"/>
        <w:snapToGrid/>
        <w:spacing w:line="600" w:lineRule="exact"/>
        <w:ind w:firstLine="640" w:firstLineChars="200"/>
        <w:textAlignment w:val="auto"/>
        <w:rPr>
          <w:rFonts w:hAnsi="黑体" w:cs="Times New Roman"/>
          <w:color w:val="auto"/>
          <w:sz w:val="32"/>
          <w:szCs w:val="32"/>
        </w:rPr>
      </w:pPr>
      <w:r>
        <w:rPr>
          <w:rFonts w:hAnsi="黑体" w:cs="Times New Roman"/>
          <w:color w:val="auto"/>
          <w:sz w:val="32"/>
          <w:szCs w:val="32"/>
        </w:rPr>
        <w:t>一、收入支出决算总体情况说明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2020年度收入总计248.23万元，与2019年收入相比，增加167.97万元，增长209.28%，原因是：因为本部门2019年度是新增单位，收入数不足一整个年度，2020年度收入数为全年情况，所以收入增加比例较大。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2020年支出总计</w:t>
      </w:r>
      <w:r>
        <w:rPr>
          <w:rFonts w:hint="eastAsia" w:ascii="仿宋" w:hAnsi="仿宋" w:eastAsia="仿宋" w:cs="仿宋"/>
          <w:color w:val="auto"/>
          <w:kern w:val="0"/>
          <w:sz w:val="32"/>
          <w:szCs w:val="32"/>
          <w:lang w:val="en-US" w:eastAsia="zh-CN" w:bidi="ar-SA"/>
        </w:rPr>
        <w:t>248.23</w:t>
      </w:r>
      <w:r>
        <w:rPr>
          <w:rFonts w:hint="eastAsia" w:ascii="仿宋" w:hAnsi="仿宋" w:eastAsia="仿宋" w:cs="仿宋"/>
          <w:color w:val="auto"/>
          <w:kern w:val="0"/>
          <w:sz w:val="32"/>
          <w:szCs w:val="32"/>
          <w:lang w:val="en-US" w:eastAsia="zh-CN" w:bidi="ar-SA"/>
        </w:rPr>
        <w:t>万元，与2019年收入相比，增加</w:t>
      </w:r>
      <w:r>
        <w:rPr>
          <w:rFonts w:hint="eastAsia" w:ascii="仿宋" w:hAnsi="仿宋" w:eastAsia="仿宋" w:cs="仿宋"/>
          <w:color w:val="auto"/>
          <w:kern w:val="0"/>
          <w:sz w:val="32"/>
          <w:szCs w:val="32"/>
          <w:lang w:val="en-US" w:eastAsia="zh-CN" w:bidi="ar-SA"/>
        </w:rPr>
        <w:t>167.97</w:t>
      </w:r>
      <w:r>
        <w:rPr>
          <w:rFonts w:hint="eastAsia" w:ascii="仿宋" w:hAnsi="仿宋" w:eastAsia="仿宋" w:cs="仿宋"/>
          <w:color w:val="auto"/>
          <w:kern w:val="0"/>
          <w:sz w:val="32"/>
          <w:szCs w:val="32"/>
          <w:lang w:val="en-US" w:eastAsia="zh-CN" w:bidi="ar-SA"/>
        </w:rPr>
        <w:t>万元，增长</w:t>
      </w:r>
      <w:r>
        <w:rPr>
          <w:rFonts w:hint="eastAsia" w:ascii="仿宋" w:hAnsi="仿宋" w:eastAsia="仿宋" w:cs="仿宋"/>
          <w:color w:val="auto"/>
          <w:kern w:val="0"/>
          <w:sz w:val="32"/>
          <w:szCs w:val="32"/>
          <w:lang w:val="en-US" w:eastAsia="zh-CN" w:bidi="ar-SA"/>
        </w:rPr>
        <w:t>209.28%</w:t>
      </w:r>
      <w:r>
        <w:rPr>
          <w:rFonts w:hint="eastAsia" w:ascii="仿宋" w:hAnsi="仿宋" w:eastAsia="仿宋" w:cs="仿宋"/>
          <w:color w:val="auto"/>
          <w:kern w:val="0"/>
          <w:sz w:val="32"/>
          <w:szCs w:val="32"/>
          <w:lang w:val="en-US" w:eastAsia="zh-CN" w:bidi="ar-SA"/>
        </w:rPr>
        <w:t>，原因是：本部门2019年度是新增单位，支出数不足一整个年度，2020年度支出为全年情况，所以支出增加比例较大。</w:t>
      </w:r>
    </w:p>
    <w:p>
      <w:pPr>
        <w:pStyle w:val="8"/>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二、收入决算情况说明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本年收入合计248.23万元，其中：财政拨款收入248.23万元，占100%；上级补助收入0万元，占0%；事业收入0万元，占0%；经营收入0万元，占0%；附属单位上缴收入0万元，占0%；其他收入0万元，占0%。</w:t>
      </w:r>
    </w:p>
    <w:p>
      <w:pPr>
        <w:pStyle w:val="8"/>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三、支出决算情况说明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本年支出合计245.54万元，其中：基本支出194.67万元，占79.28%；项目支出50.87万元，占20.72%；上缴上级支出0万元，占0%；经营支出0万元，占0%；对附属单位补助支出0万元，占0%。</w:t>
      </w:r>
    </w:p>
    <w:p>
      <w:pPr>
        <w:pStyle w:val="8"/>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四、财政拨款收入支出决算总体情况说明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2020年度财政拨款收入总计248.23万元，与2019年收入相比增加167.97万元，增长209.28%，主要是因为本部门2019年度是新增单位，收入支出数不足一整个年度，2020年度收入支出为全年情况，所以收入增加比例较大。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2020年度财政拨款支出总计</w:t>
      </w:r>
      <w:r>
        <w:rPr>
          <w:rFonts w:hint="eastAsia" w:ascii="仿宋" w:hAnsi="仿宋" w:eastAsia="仿宋" w:cs="仿宋"/>
          <w:color w:val="auto"/>
          <w:kern w:val="0"/>
          <w:sz w:val="32"/>
          <w:szCs w:val="32"/>
          <w:lang w:val="en-US" w:eastAsia="zh-CN" w:bidi="ar-SA"/>
        </w:rPr>
        <w:t>248.23</w:t>
      </w:r>
      <w:r>
        <w:rPr>
          <w:rFonts w:hint="eastAsia" w:ascii="仿宋" w:hAnsi="仿宋" w:eastAsia="仿宋" w:cs="仿宋"/>
          <w:color w:val="auto"/>
          <w:kern w:val="0"/>
          <w:sz w:val="32"/>
          <w:szCs w:val="32"/>
          <w:lang w:val="en-US" w:eastAsia="zh-CN" w:bidi="ar-SA"/>
        </w:rPr>
        <w:t>万元。与2019年相比，增加</w:t>
      </w:r>
      <w:r>
        <w:rPr>
          <w:rFonts w:hint="eastAsia" w:ascii="仿宋" w:hAnsi="仿宋" w:eastAsia="仿宋" w:cs="仿宋"/>
          <w:color w:val="auto"/>
          <w:kern w:val="0"/>
          <w:sz w:val="32"/>
          <w:szCs w:val="32"/>
          <w:lang w:val="en-US" w:eastAsia="zh-CN" w:bidi="ar-SA"/>
        </w:rPr>
        <w:t>167.97</w:t>
      </w:r>
      <w:r>
        <w:rPr>
          <w:rFonts w:hint="eastAsia" w:ascii="仿宋" w:hAnsi="仿宋" w:eastAsia="仿宋" w:cs="仿宋"/>
          <w:color w:val="auto"/>
          <w:kern w:val="0"/>
          <w:sz w:val="32"/>
          <w:szCs w:val="32"/>
          <w:lang w:val="en-US" w:eastAsia="zh-CN" w:bidi="ar-SA"/>
        </w:rPr>
        <w:t>万元，增长</w:t>
      </w:r>
      <w:r>
        <w:rPr>
          <w:rFonts w:hint="eastAsia" w:ascii="仿宋" w:hAnsi="仿宋" w:eastAsia="仿宋" w:cs="仿宋"/>
          <w:color w:val="auto"/>
          <w:kern w:val="0"/>
          <w:sz w:val="32"/>
          <w:szCs w:val="32"/>
          <w:lang w:val="en-US" w:eastAsia="zh-CN" w:bidi="ar-SA"/>
        </w:rPr>
        <w:t>209.28</w:t>
      </w:r>
      <w:r>
        <w:rPr>
          <w:rFonts w:hint="eastAsia" w:ascii="仿宋" w:hAnsi="仿宋" w:eastAsia="仿宋" w:cs="仿宋"/>
          <w:color w:val="auto"/>
          <w:kern w:val="0"/>
          <w:sz w:val="32"/>
          <w:szCs w:val="32"/>
          <w:lang w:val="en-US" w:eastAsia="zh-CN" w:bidi="ar-SA"/>
        </w:rPr>
        <w:t>%，主要是因为本部门2019年度是新增单位，收入支出数不足一整个年度，2020年度收入支出为全年情况，所以支出增加比例较大。</w:t>
      </w:r>
    </w:p>
    <w:p>
      <w:pPr>
        <w:pStyle w:val="8"/>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五、一般公共预算财政拨款支出决算情况说明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（一）财政拨款支出决算总体情况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2020年度财政拨款支出245.54万元，占本年支出合计的100%，与2019年相比，财政拨款支出增加167.71万元，增长215.48%，主要是因为本部门2019年度是新增单位，支出数不足一整个年度，2020年度支出为全年情况，所以支出增加比例较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（二）财政拨款支出决算结构情况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2020年度财政拨款支出245.54万元，主要用于以下方面：一般公共服务（类）支出218.02万元，占88.79%；</w:t>
      </w:r>
      <w:r>
        <w:rPr>
          <w:rFonts w:hint="eastAsia" w:ascii="仿宋" w:hAnsi="仿宋" w:eastAsia="仿宋" w:cs="仿宋"/>
          <w:color w:val="auto"/>
          <w:kern w:val="0"/>
          <w:sz w:val="32"/>
          <w:szCs w:val="32"/>
          <w:lang w:val="en-US" w:eastAsia="zh-CN" w:bidi="ar-SA"/>
        </w:rPr>
        <w:t>社会保障和就业（类）支出8.94万元，占3.64%；城乡社区（类）支出3万元，占1.22%</w:t>
      </w:r>
      <w:r>
        <w:rPr>
          <w:rFonts w:hint="eastAsia" w:ascii="仿宋" w:hAnsi="仿宋" w:eastAsia="仿宋" w:cs="仿宋"/>
          <w:color w:val="auto"/>
          <w:kern w:val="0"/>
          <w:sz w:val="32"/>
          <w:szCs w:val="32"/>
          <w:lang w:val="en-US" w:eastAsia="zh-CN" w:bidi="ar-SA"/>
        </w:rPr>
        <w:t>；住房保障（类）支出15.58万元，占6.35%。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（三）财政拨款支出决算具体情况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2020年度财政拨款支出年初预算数为243.77万元，支出决算数为245.54万元，完成年初预算的100.73%，其中：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1、一般公共服务支出（类）政府办公厅（室）及相关机构事务（款）行政运行（项）。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年初预算为189.76 万元，支出决算为170.92万元，完成年初预算的90.07%。决算数小于年初预算数的主要原因是：控制成本，合理使用资金。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2、一般公共服务支出（类）政府办公厅（室）及相关机构事务（款）一般行政管理事务（项）。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年初预算为40万元，支出决算为47.1万元，完成年初预算的117.75%，决算数大于年初预算数的主要原因是：工作需要追加，主要用于缴纳残疾人保障金、中欧班列政府补贴资金复审费及外迁单位餐补经费。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3、社会保障和就业支出（类）行政事业单位</w:t>
      </w:r>
      <w:r>
        <w:rPr>
          <w:rFonts w:hint="eastAsia" w:ascii="仿宋" w:hAnsi="仿宋" w:eastAsia="仿宋" w:cs="仿宋"/>
          <w:color w:val="auto"/>
          <w:kern w:val="0"/>
          <w:sz w:val="32"/>
          <w:szCs w:val="32"/>
          <w:lang w:val="en-US" w:eastAsia="zh-CN" w:bidi="ar-SA"/>
        </w:rPr>
        <w:t>养老支出</w:t>
      </w:r>
      <w:r>
        <w:rPr>
          <w:rFonts w:hint="eastAsia" w:ascii="仿宋" w:hAnsi="仿宋" w:eastAsia="仿宋" w:cs="仿宋"/>
          <w:color w:val="auto"/>
          <w:kern w:val="0"/>
          <w:sz w:val="32"/>
          <w:szCs w:val="32"/>
          <w:lang w:val="en-US" w:eastAsia="zh-CN" w:bidi="ar-SA"/>
        </w:rPr>
        <w:t>（款）机关事业单位基本养老保险缴费支出（项）。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年初预算为0万元，支出决算为</w:t>
      </w:r>
      <w:r>
        <w:rPr>
          <w:rFonts w:hint="eastAsia" w:ascii="仿宋" w:hAnsi="仿宋" w:eastAsia="仿宋" w:cs="仿宋"/>
          <w:color w:val="auto"/>
          <w:kern w:val="0"/>
          <w:sz w:val="32"/>
          <w:szCs w:val="32"/>
          <w:lang w:val="en-US" w:eastAsia="zh-CN" w:bidi="ar-SA"/>
        </w:rPr>
        <w:t>8.17</w:t>
      </w:r>
      <w:r>
        <w:rPr>
          <w:rFonts w:hint="eastAsia" w:ascii="仿宋" w:hAnsi="仿宋" w:eastAsia="仿宋" w:cs="仿宋"/>
          <w:color w:val="auto"/>
          <w:kern w:val="0"/>
          <w:sz w:val="32"/>
          <w:szCs w:val="32"/>
          <w:lang w:val="en-US" w:eastAsia="zh-CN" w:bidi="ar-SA"/>
        </w:rPr>
        <w:t>万元，决算数大于年初预算数的主要原因是：机构改革，人员异动，核算科目有变动。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4、社会保障和就业支出（类）残疾人事业（款）其他残疾人事业支出（项）。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default" w:ascii="仿宋" w:hAnsi="仿宋" w:eastAsia="仿宋" w:cs="仿宋"/>
          <w:color w:val="auto"/>
          <w:kern w:val="0"/>
          <w:sz w:val="32"/>
          <w:szCs w:val="32"/>
          <w:highlight w:val="yellow"/>
          <w:lang w:val="en-US" w:eastAsia="zh-CN" w:bidi="ar-SA"/>
        </w:rPr>
      </w:pPr>
      <w:r>
        <w:rPr>
          <w:rFonts w:hint="eastAsia" w:ascii="仿宋" w:hAnsi="仿宋" w:eastAsia="仿宋" w:cs="仿宋"/>
          <w:color w:val="auto"/>
          <w:kern w:val="0"/>
          <w:sz w:val="32"/>
          <w:szCs w:val="32"/>
          <w:lang w:val="en-US" w:eastAsia="zh-CN" w:bidi="ar-SA"/>
        </w:rPr>
        <w:t>年初预算为0万元，支出决算为0.77万元，决算数大于年初预算数的</w:t>
      </w:r>
      <w:r>
        <w:rPr>
          <w:rFonts w:hint="eastAsia" w:ascii="仿宋" w:hAnsi="仿宋" w:eastAsia="仿宋" w:cs="仿宋"/>
          <w:color w:val="auto"/>
          <w:kern w:val="0"/>
          <w:sz w:val="32"/>
          <w:szCs w:val="32"/>
          <w:highlight w:val="none"/>
          <w:lang w:val="en-US" w:eastAsia="zh-CN" w:bidi="ar-SA"/>
        </w:rPr>
        <w:t>主要原因是：</w:t>
      </w:r>
      <w:r>
        <w:rPr>
          <w:rFonts w:hint="eastAsia" w:ascii="仿宋" w:hAnsi="仿宋" w:eastAsia="仿宋" w:cs="仿宋"/>
          <w:color w:val="auto"/>
          <w:kern w:val="0"/>
          <w:sz w:val="32"/>
          <w:szCs w:val="32"/>
          <w:lang w:val="en-US" w:eastAsia="zh-CN" w:bidi="ar-SA"/>
        </w:rPr>
        <w:t>核算科目有变动。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5、城乡社区支出（类）其他城乡社区支出（款）其他城乡社区支出（项）。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年初预算为0万元，支出决算为3万元，决算数大于年初预算数的主要原因是：工作需要追加，主要为先进工作集体奖励。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6、住房保障支出（类）住房改革支出（款）住房公积金（项）。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年初预算为14.01万元，支出决算为15.58万元，完成年初预算的111.21%，决算数大于年初预算数的主要原因是：人员异动及年初工资调整引起的差异。</w:t>
      </w:r>
    </w:p>
    <w:p>
      <w:pPr>
        <w:pStyle w:val="8"/>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六、一般公共预算财政拨款基本支出决算情况说明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2020年度财政拨款基本支出194.67万元，其中：人员经费175.66万元，占基本支出的90.23%,主要包括基本工资、津贴补贴、奖金、机关事业单位基本养老保险缴费、职工基本医疗保险缴费、住房公积金、其他工资福利支出；公用经费19.01万元，占基本支出的9.77%，主要包括办公费、邮电费、公务接待费、劳务费、工会经费、其他交通费用。</w:t>
      </w:r>
    </w:p>
    <w:p>
      <w:pPr>
        <w:pStyle w:val="8"/>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七、一般公共预算财政拨款三公经费支出决算情况说明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（一）“三公”经费财政拨款支出决算总体情况说明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“三公”经费财政拨款支出预算为1万元，支出决算为0.52万元，完成预算的52%，其中：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因公出国（境）费支出预算为0万元，支出决算为0万元，完成预算的100%，决算数与年初预算数持平，主要原因按预算执行，与上年数相比减少6.3万元，减少的主要原因本年度未安排因公出国（境）。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6"/>
          <w:szCs w:val="36"/>
          <w:lang w:val="en-US" w:eastAsia="zh-CN" w:bidi="ar-SA"/>
        </w:rPr>
      </w:pPr>
      <w:r>
        <w:rPr>
          <w:rFonts w:hint="eastAsia" w:ascii="仿宋" w:hAnsi="仿宋" w:eastAsia="仿宋" w:cs="仿宋"/>
          <w:color w:val="auto"/>
          <w:kern w:val="0"/>
          <w:sz w:val="32"/>
          <w:szCs w:val="32"/>
          <w:lang w:val="en-US" w:eastAsia="zh-CN" w:bidi="ar-SA"/>
        </w:rPr>
        <w:t>公务接待费支出预算1万元，支出决算为0.52万元，完成预算的52%，决算数小于年初预算数的主要原因是积极贯彻落实中央、省委、市委、区委关于厉行节约的要求，从严控制公务接待行为，与上年相比增加0.18万元，增长52.94%，增长的主要原因是本部门2019年度是新增单位，支出数不足一整个年度，2020年度支出为全年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公务用车购置费及运行维护费支出预算为0万元，支出决算为0万元，完成预算的100%，决算数与年初预算数持平主要原因按预算执行，与上年数持平，主要原因是厉行节约，减少开支。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（二）“三公”经费财政拨款支出决算具体情况说明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2020年度“三公”经费财政拨款支出决算中，公务接待费支出决算0.52万元，占100%，因公出国（境）费支出决算0万元，占0 %，公务用车购置费及运行维护费支出决算0万元，占0 %。其中：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1、因公出国（境）费支出决算为0万元，全年安排因公出国（境）团组0个，累计0人次。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2、公务接待费支出决算为0.52万元，全年共接待来访团组4个、来宾65人次，主要是广西柳州柳南区政府来区调研、海关总署调研中欧班列集拼中心建设工作等发生的接待支出。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3、公务用车购置费及运行维护费支出决算为0万元，其中：公务用车购置费0万元，（</w:t>
      </w:r>
      <w:r>
        <w:rPr>
          <w:rFonts w:hint="eastAsia" w:ascii="仿宋" w:hAnsi="仿宋" w:eastAsia="仿宋" w:cs="仿宋"/>
          <w:color w:val="auto"/>
          <w:sz w:val="32"/>
          <w:szCs w:val="32"/>
        </w:rPr>
        <w:t>单位本级或某二级机构）更新公务用车</w:t>
      </w:r>
      <w:r>
        <w:rPr>
          <w:rFonts w:hint="eastAsia" w:ascii="仿宋" w:hAnsi="仿宋" w:eastAsia="仿宋" w:cs="仿宋"/>
          <w:color w:val="auto"/>
          <w:sz w:val="32"/>
          <w:szCs w:val="32"/>
          <w:u w:val="none"/>
          <w:lang w:val="en-US" w:eastAsia="zh-CN"/>
        </w:rPr>
        <w:t>0</w:t>
      </w:r>
      <w:r>
        <w:rPr>
          <w:rFonts w:hint="eastAsia" w:ascii="仿宋" w:hAnsi="仿宋" w:eastAsia="仿宋" w:cs="仿宋"/>
          <w:color w:val="auto"/>
          <w:sz w:val="32"/>
          <w:szCs w:val="32"/>
        </w:rPr>
        <w:t>辆</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val="en-US" w:eastAsia="zh-CN" w:bidi="ar-SA"/>
        </w:rPr>
        <w:t>公务用车运行维护费0万元，截至2020年 12月31日，我单位开支财政拨款的公务用车保有量为0辆。</w:t>
      </w:r>
    </w:p>
    <w:p>
      <w:pPr>
        <w:pStyle w:val="8"/>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八、政府性基金预算收入支出决算情况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本单位无政府性基金收支。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黑体" w:hAnsi="黑体" w:eastAsia="黑体" w:cs="Times New Roman"/>
          <w:color w:val="auto"/>
          <w:kern w:val="0"/>
          <w:sz w:val="32"/>
          <w:szCs w:val="32"/>
          <w:lang w:val="en-US" w:eastAsia="zh-CN" w:bidi="ar-SA"/>
        </w:rPr>
        <w:t> 九、关于2020年度预算绩效情况说明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根据预算绩效管理要求，我中心对部门整体支出绩效开展了自评，自评覆盖率达到100%。按照部门整体支出绩效评价指标，绩效自评结果较为理想。我中心高度重视绩效评价工作，整体提升了预算绩效管理意识，加强了绩效评价结果的运用，强化了专项资金绩效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Times New Roman"/>
          <w:color w:val="auto"/>
          <w:kern w:val="0"/>
          <w:sz w:val="32"/>
          <w:szCs w:val="32"/>
          <w:lang w:val="en-US" w:eastAsia="zh-CN" w:bidi="ar-SA"/>
        </w:rPr>
      </w:pPr>
      <w:r>
        <w:rPr>
          <w:rFonts w:hint="eastAsia" w:ascii="黑体" w:hAnsi="黑体" w:eastAsia="黑体" w:cs="Times New Roman"/>
          <w:color w:val="auto"/>
          <w:kern w:val="0"/>
          <w:sz w:val="32"/>
          <w:szCs w:val="32"/>
          <w:lang w:val="en-US" w:eastAsia="zh-CN" w:bidi="ar-SA"/>
        </w:rPr>
        <w:t>十、其他重要事项情况说明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（一）机关运行经费支出情况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本部门2020年度机关运行经费支出19.01万元，比年初预算数增加3.1万元，增长19.48 %。主要是：非参公事业单位公务用车制度改革发生的交通补贴费。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（二）一般性支出情况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2020年本部门开支会议费0万元；基本支出中开支培训费0元，项目支出开支培训费5.99万元，用于开展优化口岸营商环境、提升跨境贸易便利化培训，人数270人，内容为优化口岸营商环境、提升跨境贸易便利化；举办节庆、晚会、论坛、赛事活动，开支0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（三）政府采购支出情况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本部门2020年度政府采购支出总额1.81万元，其中：政府采购货物支出1.81万元、政府采购工程支出0万元、政府采购服务支出0万元。授予中小企业合同金额0万元，占政府采购支出总额的0%，其中：授予小微企业合同金额1.81万元，占政府采购支出总额的100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color w:val="auto"/>
          <w:kern w:val="0"/>
          <w:sz w:val="32"/>
          <w:szCs w:val="32"/>
          <w:lang w:val="en-US" w:eastAsia="zh-CN" w:bidi="ar-SA"/>
        </w:rPr>
      </w:pPr>
      <w:r>
        <w:rPr>
          <w:rFonts w:hint="eastAsia" w:ascii="仿宋" w:hAnsi="仿宋" w:eastAsia="仿宋" w:cs="仿宋"/>
          <w:b/>
          <w:bCs/>
          <w:color w:val="auto"/>
          <w:kern w:val="0"/>
          <w:sz w:val="32"/>
          <w:szCs w:val="32"/>
          <w:lang w:val="en-US" w:eastAsia="zh-CN" w:bidi="ar-SA"/>
        </w:rPr>
        <w:t>（四）国有资产占用情况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截至2020年12月31日，本单位共有车辆0辆，其中，领导干部用车0辆、机要通信用车0辆、应急保障用车0辆、执法执勤用车0辆、特种专业技术用车0辆、其他用车0辆；单位价值50万元以上通用设备0台（套）；单位价值100万元以上专用设备0台（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p>
    <w:p>
      <w:pPr>
        <w:keepNext w:val="0"/>
        <w:keepLines w:val="0"/>
        <w:pageBreakBefore w:val="0"/>
        <w:widowControl/>
        <w:kinsoku/>
        <w:wordWrap/>
        <w:overflowPunct/>
        <w:topLinePunct w:val="0"/>
        <w:bidi w:val="0"/>
        <w:snapToGrid/>
        <w:spacing w:line="600" w:lineRule="exact"/>
        <w:ind w:firstLine="880" w:firstLineChars="200"/>
        <w:jc w:val="center"/>
        <w:textAlignment w:val="auto"/>
        <w:rPr>
          <w:rFonts w:hint="eastAsia" w:ascii="黑体" w:hAnsi="黑体" w:eastAsia="黑体" w:cs="黑体"/>
          <w:bCs/>
          <w:color w:val="auto"/>
          <w:kern w:val="0"/>
          <w:sz w:val="44"/>
          <w:szCs w:val="44"/>
        </w:rPr>
      </w:pPr>
      <w:r>
        <w:rPr>
          <w:rFonts w:hint="eastAsia" w:ascii="黑体" w:hAnsi="黑体" w:eastAsia="黑体" w:cs="黑体"/>
          <w:bCs/>
          <w:color w:val="auto"/>
          <w:kern w:val="0"/>
          <w:sz w:val="44"/>
          <w:szCs w:val="44"/>
        </w:rPr>
        <w:t>第四部分 名词解释</w:t>
      </w:r>
    </w:p>
    <w:p>
      <w:pPr>
        <w:keepNext w:val="0"/>
        <w:keepLines w:val="0"/>
        <w:pageBreakBefore w:val="0"/>
        <w:widowControl/>
        <w:kinsoku/>
        <w:wordWrap/>
        <w:overflowPunct/>
        <w:topLinePunct w:val="0"/>
        <w:bidi w:val="0"/>
        <w:snapToGrid/>
        <w:spacing w:line="600" w:lineRule="exact"/>
        <w:ind w:firstLine="880" w:firstLineChars="200"/>
        <w:jc w:val="center"/>
        <w:textAlignment w:val="auto"/>
        <w:rPr>
          <w:rFonts w:hint="eastAsia" w:ascii="黑体" w:hAnsi="黑体" w:eastAsia="黑体" w:cs="黑体"/>
          <w:bCs/>
          <w:color w:val="auto"/>
          <w:kern w:val="0"/>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一、基本支出：指为保障机构正常运转、完成日常工作任务而发生的人员支出和公用支出。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二、项目支出：指在基本支出之外为完成特定行政任务和事业发展目标所发生的支出。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三、“三公”经费：纳入长沙市开福区财政预决算管理的“三公”经费，是指长沙市开福区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bidi="ar-SA"/>
        </w:rPr>
        <w:t>四、机关运行经费：为保障行政单位（包括参照公务员法管理的事业单位）运行，用当年财政拨款安排的用于购买货物和服务的各项资金，包括办公及印刷费、邮电费、差旅费、会议费、福利费、日常维修费、办公用房水电费、办公用房取暖费、办公用房物业管理费、公务用车运行维护费以及其他费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color w:val="auto"/>
          <w:kern w:val="0"/>
          <w:sz w:val="32"/>
          <w:szCs w:val="32"/>
          <w:lang w:val="en-US" w:eastAsia="zh-CN" w:bidi="ar-SA"/>
        </w:rPr>
      </w:pPr>
    </w:p>
    <w:p>
      <w:pPr>
        <w:keepNext w:val="0"/>
        <w:keepLines w:val="0"/>
        <w:pageBreakBefore w:val="0"/>
        <w:numPr>
          <w:ilvl w:val="0"/>
          <w:numId w:val="2"/>
        </w:numPr>
        <w:kinsoku/>
        <w:wordWrap/>
        <w:overflowPunct/>
        <w:topLinePunct w:val="0"/>
        <w:bidi w:val="0"/>
        <w:snapToGrid/>
        <w:spacing w:line="600" w:lineRule="exact"/>
        <w:ind w:firstLine="880" w:firstLineChars="200"/>
        <w:jc w:val="center"/>
        <w:textAlignment w:val="auto"/>
        <w:rPr>
          <w:rFonts w:hint="eastAsia" w:ascii="黑体" w:hAnsi="黑体" w:eastAsia="黑体" w:cs="黑体"/>
          <w:bCs/>
          <w:color w:val="auto"/>
          <w:kern w:val="0"/>
          <w:sz w:val="44"/>
          <w:szCs w:val="44"/>
          <w:lang w:val="en-US" w:eastAsia="zh-CN"/>
        </w:rPr>
      </w:pPr>
      <w:r>
        <w:rPr>
          <w:rFonts w:hint="eastAsia" w:ascii="黑体" w:hAnsi="黑体" w:eastAsia="黑体" w:cs="黑体"/>
          <w:bCs/>
          <w:color w:val="auto"/>
          <w:kern w:val="0"/>
          <w:sz w:val="44"/>
          <w:szCs w:val="44"/>
          <w:lang w:val="en-US" w:eastAsia="zh-CN"/>
        </w:rPr>
        <w:t>附件</w:t>
      </w: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年度部门整体支出绩效评价报告</w:t>
      </w:r>
    </w:p>
    <w:bookmarkEnd w:id="0"/>
    <w:sectPr>
      <w:pgSz w:w="11906" w:h="16838"/>
      <w:pgMar w:top="1417" w:right="1279"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8F8D32"/>
    <w:multiLevelType w:val="singleLevel"/>
    <w:tmpl w:val="9F8F8D32"/>
    <w:lvl w:ilvl="0" w:tentative="0">
      <w:start w:val="5"/>
      <w:numFmt w:val="chineseCounting"/>
      <w:suff w:val="space"/>
      <w:lvlText w:val="第%1部分"/>
      <w:lvlJc w:val="left"/>
      <w:rPr>
        <w:rFonts w:hint="eastAsia"/>
      </w:rPr>
    </w:lvl>
  </w:abstractNum>
  <w:abstractNum w:abstractNumId="1">
    <w:nsid w:val="6FF4F742"/>
    <w:multiLevelType w:val="singleLevel"/>
    <w:tmpl w:val="6FF4F742"/>
    <w:lvl w:ilvl="0" w:tentative="0">
      <w:start w:val="2"/>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kY2YyZmQ4NWExMTlhNjY0YzFhMGFjMTIyOWIyNzgifQ=="/>
  </w:docVars>
  <w:rsids>
    <w:rsidRoot w:val="00000000"/>
    <w:rsid w:val="0C8F1055"/>
    <w:rsid w:val="0D406A9D"/>
    <w:rsid w:val="0F592105"/>
    <w:rsid w:val="137948F7"/>
    <w:rsid w:val="1A076A41"/>
    <w:rsid w:val="1E0C3498"/>
    <w:rsid w:val="23C84DE9"/>
    <w:rsid w:val="2AF90E21"/>
    <w:rsid w:val="3231600F"/>
    <w:rsid w:val="35C14DBA"/>
    <w:rsid w:val="39E90FBF"/>
    <w:rsid w:val="3B5953EB"/>
    <w:rsid w:val="50774D1B"/>
    <w:rsid w:val="5AC373B0"/>
    <w:rsid w:val="63432386"/>
    <w:rsid w:val="67917A79"/>
    <w:rsid w:val="6A0953EF"/>
    <w:rsid w:val="7717662E"/>
    <w:rsid w:val="78A70666"/>
    <w:rsid w:val="79AB1466"/>
    <w:rsid w:val="7B237219"/>
    <w:rsid w:val="7FF93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 w:type="paragraph" w:customStyle="1" w:styleId="8">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4803</Words>
  <Characters>5240</Characters>
  <Lines>0</Lines>
  <Paragraphs>0</Paragraphs>
  <TotalTime>2</TotalTime>
  <ScaleCrop>false</ScaleCrop>
  <LinksUpToDate>false</LinksUpToDate>
  <CharactersWithSpaces>5255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2022-06-27T08:52:00Z</dcterms:created>
  <dc:creator>朱嘉</dc:creator>
  <cp:lastModifiedBy>叶秋</cp:lastModifiedBy>
  <dcterms:modified xsi:type="dcterms:W3CDTF">2022-08-19T03:46:19Z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782BC0498B39471493E431FCEF4CA0E6</vt:lpwstr>
  </property>
</Properties>
</file>