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ind w:left="591" w:leftChars="17" w:right="-429" w:rightChars="-164" w:hanging="547" w:hangingChars="181"/>
        <w:rPr>
          <w:rFonts w:ascii="仿宋_GB2312"/>
          <w:color w:val="000000"/>
          <w:sz w:val="32"/>
          <w:szCs w:val="32"/>
        </w:rPr>
      </w:pPr>
      <w:r>
        <w:rPr>
          <w:rFonts w:hint="eastAsia" w:ascii="仿宋_GB2312"/>
          <w:color w:val="000000"/>
          <w:sz w:val="32"/>
          <w:szCs w:val="32"/>
        </w:rPr>
        <w:t>附件5</w:t>
      </w:r>
    </w:p>
    <w:p>
      <w:pPr>
        <w:jc w:val="center"/>
        <w:rPr>
          <w:rFonts w:ascii="方正小标宋简体" w:eastAsia="方正小标宋简体"/>
          <w:sz w:val="44"/>
          <w:szCs w:val="44"/>
        </w:rPr>
      </w:pPr>
      <w:r>
        <w:rPr>
          <w:rFonts w:hint="eastAsia" w:ascii="方正小标宋简体" w:eastAsia="方正小标宋简体"/>
          <w:sz w:val="44"/>
          <w:szCs w:val="44"/>
        </w:rPr>
        <w:t>项目支出绩效自评报告</w:t>
      </w:r>
    </w:p>
    <w:p>
      <w:pPr>
        <w:jc w:val="center"/>
        <w:rPr>
          <w:sz w:val="44"/>
          <w:szCs w:val="44"/>
        </w:rPr>
      </w:pPr>
    </w:p>
    <w:p>
      <w:pPr>
        <w:jc w:val="center"/>
        <w:rPr>
          <w:rFonts w:ascii="楷体_GB2312" w:eastAsia="楷体_GB2312"/>
          <w:sz w:val="44"/>
          <w:szCs w:val="44"/>
        </w:rPr>
      </w:pPr>
      <w:r>
        <w:rPr>
          <w:rFonts w:hint="eastAsia" w:ascii="楷体_GB2312" w:eastAsia="楷体_GB2312"/>
          <w:sz w:val="44"/>
          <w:szCs w:val="44"/>
        </w:rPr>
        <w:t>（封面）</w:t>
      </w:r>
    </w:p>
    <w:p>
      <w:pPr>
        <w:jc w:val="center"/>
        <w:rPr>
          <w:sz w:val="44"/>
          <w:szCs w:val="44"/>
        </w:rPr>
      </w:pPr>
    </w:p>
    <w:p>
      <w:pPr>
        <w:jc w:val="center"/>
      </w:pPr>
    </w:p>
    <w:p>
      <w:pPr>
        <w:spacing w:line="600" w:lineRule="exact"/>
        <w:jc w:val="center"/>
      </w:pPr>
    </w:p>
    <w:p>
      <w:pPr>
        <w:spacing w:line="600" w:lineRule="exact"/>
        <w:jc w:val="left"/>
      </w:pPr>
    </w:p>
    <w:p>
      <w:pPr>
        <w:ind w:firstLine="393" w:firstLineChars="150"/>
        <w:jc w:val="left"/>
        <w:rPr>
          <w:rFonts w:hint="eastAsia" w:ascii="黑体" w:eastAsia="黑体"/>
        </w:rPr>
      </w:pPr>
      <w:r>
        <w:rPr>
          <w:rFonts w:hint="eastAsia" w:ascii="黑体" w:eastAsia="黑体"/>
        </w:rPr>
        <w:t>项目中心： 长沙市开福区人民政府金融工作办公室</w:t>
      </w:r>
    </w:p>
    <w:p>
      <w:pPr>
        <w:ind w:firstLine="393" w:firstLineChars="150"/>
        <w:jc w:val="left"/>
        <w:rPr>
          <w:rFonts w:hint="eastAsia" w:ascii="黑体" w:eastAsia="黑体"/>
        </w:rPr>
      </w:pPr>
    </w:p>
    <w:p>
      <w:pPr>
        <w:ind w:firstLine="393" w:firstLineChars="150"/>
        <w:jc w:val="left"/>
        <w:rPr>
          <w:rFonts w:hint="eastAsia" w:ascii="黑体" w:eastAsia="黑体"/>
        </w:rPr>
      </w:pPr>
      <w:r>
        <w:rPr>
          <w:rFonts w:hint="eastAsia" w:ascii="黑体" w:eastAsia="黑体"/>
        </w:rPr>
        <w:t>报告填报人:袁思维</w:t>
      </w:r>
    </w:p>
    <w:p>
      <w:pPr>
        <w:ind w:firstLine="393" w:firstLineChars="150"/>
        <w:jc w:val="left"/>
        <w:rPr>
          <w:rFonts w:hint="eastAsia" w:ascii="黑体" w:eastAsia="黑体"/>
        </w:rPr>
      </w:pPr>
    </w:p>
    <w:p>
      <w:pPr>
        <w:ind w:firstLine="393" w:firstLineChars="150"/>
        <w:jc w:val="left"/>
        <w:rPr>
          <w:rFonts w:hint="eastAsia" w:ascii="黑体" w:eastAsia="黑体"/>
        </w:rPr>
      </w:pPr>
      <w:r>
        <w:rPr>
          <w:rFonts w:hint="eastAsia" w:ascii="黑体" w:eastAsia="黑体"/>
        </w:rPr>
        <w:t>办公电话：84399139</w:t>
      </w:r>
    </w:p>
    <w:p>
      <w:pPr>
        <w:ind w:firstLine="393" w:firstLineChars="150"/>
        <w:jc w:val="left"/>
        <w:rPr>
          <w:rFonts w:hint="eastAsia" w:ascii="黑体" w:eastAsia="黑体"/>
        </w:rPr>
      </w:pPr>
    </w:p>
    <w:p>
      <w:pPr>
        <w:ind w:firstLine="393" w:firstLineChars="150"/>
        <w:jc w:val="left"/>
        <w:rPr>
          <w:rFonts w:hint="default" w:ascii="黑体" w:eastAsia="黑体"/>
          <w:lang w:val="en-US" w:eastAsia="zh-CN"/>
        </w:rPr>
      </w:pPr>
      <w:r>
        <w:rPr>
          <w:rFonts w:hint="eastAsia" w:ascii="黑体" w:eastAsia="黑体"/>
        </w:rPr>
        <w:t>手机号码：</w:t>
      </w:r>
      <w:r>
        <w:rPr>
          <w:rFonts w:hint="eastAsia" w:ascii="黑体" w:eastAsia="黑体"/>
          <w:lang w:val="en-US" w:eastAsia="zh-CN"/>
        </w:rPr>
        <w:t>13548703974</w:t>
      </w:r>
    </w:p>
    <w:p>
      <w:pPr>
        <w:ind w:firstLine="393" w:firstLineChars="150"/>
        <w:jc w:val="left"/>
        <w:rPr>
          <w:rFonts w:hint="eastAsia" w:ascii="黑体" w:eastAsia="黑体"/>
        </w:rPr>
      </w:pPr>
    </w:p>
    <w:p>
      <w:pPr>
        <w:jc w:val="left"/>
        <w:rPr>
          <w:rFonts w:ascii="黑体" w:eastAsia="黑体"/>
        </w:rPr>
      </w:pPr>
    </w:p>
    <w:p>
      <w:pPr>
        <w:jc w:val="left"/>
        <w:rPr>
          <w:rFonts w:ascii="黑体" w:eastAsia="黑体"/>
        </w:rPr>
      </w:pPr>
    </w:p>
    <w:p>
      <w:pPr>
        <w:spacing w:line="800" w:lineRule="exact"/>
        <w:jc w:val="center"/>
        <w:rPr>
          <w:rFonts w:ascii="楷体_GB2312" w:eastAsia="楷体_GB2312"/>
          <w:sz w:val="36"/>
          <w:szCs w:val="36"/>
        </w:rPr>
      </w:pPr>
      <w:r>
        <w:rPr>
          <w:rFonts w:hint="eastAsia" w:ascii="楷体_GB2312" w:eastAsia="楷体_GB2312"/>
          <w:sz w:val="36"/>
          <w:szCs w:val="36"/>
        </w:rPr>
        <w:t>报告日期：</w:t>
      </w:r>
      <w:r>
        <w:rPr>
          <w:rFonts w:hint="eastAsia" w:ascii="楷体_GB2312" w:eastAsia="楷体_GB2312"/>
          <w:sz w:val="36"/>
          <w:szCs w:val="36"/>
          <w:lang w:val="en-US" w:eastAsia="zh-CN"/>
        </w:rPr>
        <w:t>2022</w:t>
      </w:r>
      <w:r>
        <w:rPr>
          <w:rFonts w:hint="eastAsia" w:ascii="楷体_GB2312" w:eastAsia="楷体_GB2312"/>
          <w:sz w:val="36"/>
          <w:szCs w:val="36"/>
        </w:rPr>
        <w:t xml:space="preserve"> 年</w:t>
      </w:r>
      <w:r>
        <w:rPr>
          <w:rFonts w:hint="eastAsia" w:ascii="楷体_GB2312" w:eastAsia="楷体_GB2312"/>
          <w:sz w:val="36"/>
          <w:szCs w:val="36"/>
          <w:lang w:val="en-US" w:eastAsia="zh-CN"/>
        </w:rPr>
        <w:t>03</w:t>
      </w:r>
      <w:r>
        <w:rPr>
          <w:rFonts w:hint="eastAsia" w:ascii="楷体_GB2312" w:eastAsia="楷体_GB2312"/>
          <w:sz w:val="36"/>
          <w:szCs w:val="36"/>
        </w:rPr>
        <w:t>月</w:t>
      </w:r>
      <w:r>
        <w:rPr>
          <w:rFonts w:hint="eastAsia" w:ascii="楷体_GB2312" w:eastAsia="楷体_GB2312"/>
          <w:sz w:val="36"/>
          <w:szCs w:val="36"/>
          <w:lang w:val="en-US" w:eastAsia="zh-CN"/>
        </w:rPr>
        <w:t>30</w:t>
      </w:r>
      <w:r>
        <w:rPr>
          <w:rFonts w:hint="eastAsia" w:ascii="楷体_GB2312" w:eastAsia="楷体_GB2312"/>
          <w:sz w:val="36"/>
          <w:szCs w:val="36"/>
        </w:rPr>
        <w:t>日</w:t>
      </w:r>
    </w:p>
    <w:p>
      <w:pPr>
        <w:spacing w:line="800" w:lineRule="exact"/>
        <w:jc w:val="center"/>
        <w:rPr>
          <w:rFonts w:ascii="仿宋_GB2312"/>
          <w:color w:val="000000"/>
        </w:rPr>
      </w:pPr>
      <w:r>
        <w:rPr>
          <w:rFonts w:hint="eastAsia" w:ascii="楷体_GB2312" w:eastAsia="楷体_GB2312"/>
          <w:sz w:val="36"/>
          <w:szCs w:val="36"/>
        </w:rPr>
        <w:t>（中心盖章）</w:t>
      </w:r>
      <w:r>
        <w:rPr>
          <w:rFonts w:hint="eastAsia" w:ascii="仿宋_GB2312"/>
          <w:color w:val="000000"/>
        </w:rPr>
        <w:t xml:space="preserve">         </w:t>
      </w:r>
    </w:p>
    <w:p>
      <w:pPr>
        <w:spacing w:line="560" w:lineRule="exact"/>
        <w:jc w:val="center"/>
        <w:rPr>
          <w:rFonts w:ascii="方正小标宋简体" w:eastAsia="方正小标宋简体"/>
          <w:color w:val="000000"/>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2155" w:right="1474" w:bottom="2041" w:left="1588" w:header="1134" w:footer="1134" w:gutter="0"/>
          <w:cols w:space="720" w:num="1"/>
          <w:docGrid w:type="linesAndChars" w:linePitch="579" w:charSpace="-3885"/>
        </w:sectPr>
      </w:pPr>
    </w:p>
    <w:p>
      <w:pPr>
        <w:spacing w:line="56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项目支出绩效自评报告</w:t>
      </w:r>
    </w:p>
    <w:p>
      <w:pPr>
        <w:spacing w:line="560" w:lineRule="exact"/>
        <w:outlineLvl w:val="0"/>
        <w:rPr>
          <w:rFonts w:eastAsia="黑体"/>
          <w:kern w:val="0"/>
          <w:sz w:val="32"/>
          <w:szCs w:val="32"/>
        </w:rPr>
      </w:pPr>
      <w:r>
        <w:rPr>
          <w:rFonts w:hint="eastAsia" w:ascii="仿宋_GB2312"/>
          <w:color w:val="000000"/>
        </w:rPr>
        <w:t xml:space="preserve"> </w:t>
      </w:r>
    </w:p>
    <w:p>
      <w:pPr>
        <w:pStyle w:val="4"/>
        <w:rPr>
          <w:sz w:val="32"/>
          <w:szCs w:val="32"/>
        </w:rPr>
      </w:pPr>
      <w:r>
        <w:rPr>
          <w:sz w:val="32"/>
          <w:szCs w:val="32"/>
        </w:rPr>
        <w:t>一、</w:t>
      </w:r>
      <w:r>
        <w:rPr>
          <w:rFonts w:hint="eastAsia"/>
          <w:sz w:val="32"/>
          <w:szCs w:val="32"/>
        </w:rPr>
        <w:t>项目支出</w:t>
      </w:r>
      <w:r>
        <w:rPr>
          <w:sz w:val="32"/>
          <w:szCs w:val="32"/>
        </w:rPr>
        <w:t>基本情况</w:t>
      </w:r>
    </w:p>
    <w:p>
      <w:pPr>
        <w:pStyle w:val="5"/>
        <w:rPr>
          <w:sz w:val="30"/>
          <w:szCs w:val="30"/>
        </w:rPr>
      </w:pPr>
      <w:r>
        <w:rPr>
          <w:sz w:val="30"/>
          <w:szCs w:val="30"/>
        </w:rPr>
        <w:t>（一）</w:t>
      </w:r>
      <w:r>
        <w:rPr>
          <w:rFonts w:hint="eastAsia"/>
          <w:sz w:val="30"/>
          <w:szCs w:val="30"/>
        </w:rPr>
        <w:t>项目支出</w:t>
      </w:r>
      <w:r>
        <w:rPr>
          <w:sz w:val="30"/>
          <w:szCs w:val="30"/>
        </w:rPr>
        <w:t>资金概况</w:t>
      </w:r>
    </w:p>
    <w:p>
      <w:pPr>
        <w:spacing w:line="560" w:lineRule="exact"/>
        <w:ind w:firstLine="560" w:firstLineChars="200"/>
        <w:rPr>
          <w:sz w:val="32"/>
          <w:szCs w:val="32"/>
        </w:rPr>
      </w:pPr>
      <w:r>
        <w:rPr>
          <w:szCs w:val="28"/>
        </w:rPr>
        <w:t>2021</w:t>
      </w:r>
      <w:r>
        <w:rPr>
          <w:rFonts w:hint="eastAsia"/>
          <w:szCs w:val="28"/>
        </w:rPr>
        <w:t>年我中心项目支出预算共</w:t>
      </w:r>
      <w:r>
        <w:rPr>
          <w:rFonts w:hint="eastAsia"/>
          <w:szCs w:val="28"/>
          <w:u w:val="single"/>
        </w:rPr>
        <w:t xml:space="preserve"> </w:t>
      </w:r>
      <w:r>
        <w:rPr>
          <w:rFonts w:hint="eastAsia" w:ascii="仿宋" w:hAnsi="仿宋" w:eastAsia="仿宋" w:cs="仿宋"/>
          <w:szCs w:val="28"/>
          <w:u w:val="single"/>
          <w:lang w:val="en-US" w:eastAsia="zh-CN"/>
        </w:rPr>
        <w:t>238.80</w:t>
      </w:r>
      <w:r>
        <w:rPr>
          <w:rFonts w:hint="eastAsia"/>
          <w:szCs w:val="28"/>
        </w:rPr>
        <w:t>万元，包含项目</w:t>
      </w:r>
      <w:r>
        <w:rPr>
          <w:rFonts w:hint="eastAsia"/>
          <w:szCs w:val="28"/>
          <w:u w:val="single"/>
        </w:rPr>
        <w:t xml:space="preserve">5 </w:t>
      </w:r>
      <w:r>
        <w:rPr>
          <w:rFonts w:hint="eastAsia"/>
          <w:szCs w:val="28"/>
        </w:rPr>
        <w:t>个，实际支出</w:t>
      </w:r>
      <w:r>
        <w:rPr>
          <w:rFonts w:hint="eastAsia"/>
          <w:szCs w:val="28"/>
          <w:u w:val="single"/>
        </w:rPr>
        <w:t xml:space="preserve"> 114.35</w:t>
      </w:r>
      <w:r>
        <w:rPr>
          <w:rFonts w:hint="eastAsia"/>
          <w:szCs w:val="28"/>
        </w:rPr>
        <w:t>万元（业务工作经费</w:t>
      </w:r>
      <w:r>
        <w:rPr>
          <w:rFonts w:hint="eastAsia"/>
          <w:szCs w:val="28"/>
          <w:u w:val="single"/>
        </w:rPr>
        <w:t>0</w:t>
      </w:r>
      <w:r>
        <w:rPr>
          <w:rFonts w:hint="eastAsia"/>
          <w:szCs w:val="28"/>
        </w:rPr>
        <w:t>万元、专项经费</w:t>
      </w:r>
      <w:r>
        <w:rPr>
          <w:rFonts w:hint="eastAsia"/>
          <w:szCs w:val="28"/>
          <w:u w:val="single"/>
        </w:rPr>
        <w:t xml:space="preserve">114.35 </w:t>
      </w:r>
      <w:r>
        <w:rPr>
          <w:rFonts w:hint="eastAsia"/>
          <w:szCs w:val="28"/>
        </w:rPr>
        <w:t>万元、政府专项经费</w:t>
      </w:r>
      <w:r>
        <w:rPr>
          <w:rFonts w:hint="eastAsia"/>
          <w:szCs w:val="28"/>
          <w:u w:val="single"/>
        </w:rPr>
        <w:t xml:space="preserve"> 0</w:t>
      </w:r>
      <w:r>
        <w:rPr>
          <w:rFonts w:hint="eastAsia"/>
          <w:szCs w:val="28"/>
        </w:rPr>
        <w:t>万元），涵盖项目</w:t>
      </w:r>
      <w:r>
        <w:rPr>
          <w:rFonts w:hint="eastAsia"/>
          <w:szCs w:val="28"/>
          <w:u w:val="single"/>
        </w:rPr>
        <w:t>5</w:t>
      </w:r>
      <w:r>
        <w:rPr>
          <w:rFonts w:hint="eastAsia"/>
          <w:szCs w:val="28"/>
        </w:rPr>
        <w:t>个。具体情况如下：</w:t>
      </w:r>
    </w:p>
    <w:p>
      <w:pPr>
        <w:spacing w:line="660" w:lineRule="exact"/>
        <w:ind w:firstLine="480" w:firstLineChars="200"/>
        <w:jc w:val="right"/>
        <w:rPr>
          <w:sz w:val="32"/>
          <w:szCs w:val="32"/>
        </w:rPr>
      </w:pPr>
      <w:r>
        <w:rPr>
          <w:rFonts w:hint="eastAsia"/>
          <w:sz w:val="24"/>
          <w:szCs w:val="24"/>
        </w:rPr>
        <w:t>金额中心：万元</w:t>
      </w:r>
    </w:p>
    <w:tbl>
      <w:tblPr>
        <w:tblStyle w:val="10"/>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14"/>
        <w:gridCol w:w="3062"/>
        <w:gridCol w:w="945"/>
        <w:gridCol w:w="1005"/>
        <w:gridCol w:w="840"/>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555" w:type="dxa"/>
            <w:vMerge w:val="restart"/>
            <w:noWrap/>
            <w:vAlign w:val="center"/>
          </w:tcPr>
          <w:p>
            <w:pPr>
              <w:jc w:val="center"/>
              <w:rPr>
                <w:sz w:val="21"/>
                <w:szCs w:val="21"/>
              </w:rPr>
            </w:pPr>
            <w:r>
              <w:rPr>
                <w:rFonts w:hint="eastAsia"/>
                <w:sz w:val="21"/>
                <w:szCs w:val="21"/>
              </w:rPr>
              <w:t>项目名称</w:t>
            </w:r>
          </w:p>
        </w:tc>
        <w:tc>
          <w:tcPr>
            <w:tcW w:w="1214" w:type="dxa"/>
            <w:vMerge w:val="restart"/>
            <w:noWrap/>
            <w:vAlign w:val="center"/>
          </w:tcPr>
          <w:p>
            <w:pPr>
              <w:jc w:val="center"/>
              <w:rPr>
                <w:sz w:val="21"/>
                <w:szCs w:val="21"/>
              </w:rPr>
            </w:pPr>
            <w:r>
              <w:rPr>
                <w:rFonts w:hint="eastAsia"/>
                <w:sz w:val="21"/>
                <w:szCs w:val="21"/>
              </w:rPr>
              <w:t>项目类型</w:t>
            </w:r>
          </w:p>
        </w:tc>
        <w:tc>
          <w:tcPr>
            <w:tcW w:w="3062" w:type="dxa"/>
            <w:vMerge w:val="restart"/>
            <w:noWrap/>
            <w:vAlign w:val="center"/>
          </w:tcPr>
          <w:p>
            <w:pPr>
              <w:jc w:val="center"/>
              <w:rPr>
                <w:sz w:val="21"/>
                <w:szCs w:val="21"/>
              </w:rPr>
            </w:pPr>
            <w:r>
              <w:rPr>
                <w:rFonts w:hint="eastAsia"/>
                <w:sz w:val="21"/>
                <w:szCs w:val="21"/>
              </w:rPr>
              <w:t>资金用途、使用方向</w:t>
            </w:r>
          </w:p>
        </w:tc>
        <w:tc>
          <w:tcPr>
            <w:tcW w:w="1950" w:type="dxa"/>
            <w:gridSpan w:val="2"/>
            <w:noWrap/>
            <w:vAlign w:val="center"/>
          </w:tcPr>
          <w:p>
            <w:pPr>
              <w:jc w:val="center"/>
              <w:rPr>
                <w:sz w:val="21"/>
                <w:szCs w:val="21"/>
              </w:rPr>
            </w:pPr>
            <w:r>
              <w:rPr>
                <w:rFonts w:hint="eastAsia"/>
                <w:sz w:val="21"/>
                <w:szCs w:val="21"/>
              </w:rPr>
              <w:t>预算金额</w:t>
            </w:r>
          </w:p>
        </w:tc>
        <w:tc>
          <w:tcPr>
            <w:tcW w:w="1796" w:type="dxa"/>
            <w:gridSpan w:val="2"/>
            <w:noWrap/>
            <w:vAlign w:val="center"/>
          </w:tcPr>
          <w:p>
            <w:pPr>
              <w:jc w:val="center"/>
              <w:rPr>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55" w:type="dxa"/>
            <w:vMerge w:val="continue"/>
            <w:noWrap/>
            <w:vAlign w:val="center"/>
          </w:tcPr>
          <w:p>
            <w:pPr>
              <w:jc w:val="center"/>
              <w:rPr>
                <w:sz w:val="21"/>
                <w:szCs w:val="21"/>
              </w:rPr>
            </w:pPr>
          </w:p>
        </w:tc>
        <w:tc>
          <w:tcPr>
            <w:tcW w:w="1214" w:type="dxa"/>
            <w:vMerge w:val="continue"/>
            <w:noWrap/>
            <w:vAlign w:val="center"/>
          </w:tcPr>
          <w:p>
            <w:pPr>
              <w:jc w:val="center"/>
              <w:rPr>
                <w:sz w:val="21"/>
                <w:szCs w:val="21"/>
              </w:rPr>
            </w:pPr>
          </w:p>
        </w:tc>
        <w:tc>
          <w:tcPr>
            <w:tcW w:w="3062" w:type="dxa"/>
            <w:vMerge w:val="continue"/>
            <w:noWrap/>
            <w:vAlign w:val="center"/>
          </w:tcPr>
          <w:p>
            <w:pPr>
              <w:jc w:val="center"/>
              <w:rPr>
                <w:sz w:val="21"/>
                <w:szCs w:val="21"/>
              </w:rPr>
            </w:pPr>
          </w:p>
        </w:tc>
        <w:tc>
          <w:tcPr>
            <w:tcW w:w="945" w:type="dxa"/>
            <w:noWrap/>
            <w:vAlign w:val="center"/>
          </w:tcPr>
          <w:p>
            <w:pPr>
              <w:jc w:val="center"/>
              <w:rPr>
                <w:sz w:val="21"/>
                <w:szCs w:val="21"/>
              </w:rPr>
            </w:pPr>
            <w:r>
              <w:rPr>
                <w:rFonts w:hint="eastAsia"/>
                <w:sz w:val="21"/>
                <w:szCs w:val="21"/>
              </w:rPr>
              <w:t>指标</w:t>
            </w:r>
          </w:p>
          <w:p>
            <w:pPr>
              <w:jc w:val="center"/>
              <w:rPr>
                <w:sz w:val="21"/>
                <w:szCs w:val="21"/>
              </w:rPr>
            </w:pPr>
            <w:r>
              <w:rPr>
                <w:rFonts w:hint="eastAsia"/>
                <w:sz w:val="21"/>
                <w:szCs w:val="21"/>
              </w:rPr>
              <w:t>总额</w:t>
            </w:r>
          </w:p>
        </w:tc>
        <w:tc>
          <w:tcPr>
            <w:tcW w:w="1005" w:type="dxa"/>
            <w:noWrap/>
            <w:vAlign w:val="center"/>
          </w:tcPr>
          <w:p>
            <w:pPr>
              <w:jc w:val="center"/>
              <w:rPr>
                <w:sz w:val="21"/>
                <w:szCs w:val="21"/>
              </w:rPr>
            </w:pPr>
            <w:r>
              <w:rPr>
                <w:rFonts w:hint="eastAsia"/>
                <w:sz w:val="21"/>
                <w:szCs w:val="21"/>
              </w:rPr>
              <w:t>其中：区级资金</w:t>
            </w:r>
          </w:p>
        </w:tc>
        <w:tc>
          <w:tcPr>
            <w:tcW w:w="840" w:type="dxa"/>
            <w:noWrap/>
            <w:vAlign w:val="center"/>
          </w:tcPr>
          <w:p>
            <w:pPr>
              <w:jc w:val="center"/>
              <w:rPr>
                <w:sz w:val="21"/>
                <w:szCs w:val="21"/>
              </w:rPr>
            </w:pPr>
            <w:r>
              <w:rPr>
                <w:rFonts w:hint="eastAsia"/>
                <w:sz w:val="21"/>
                <w:szCs w:val="21"/>
              </w:rPr>
              <w:t>支出总额</w:t>
            </w:r>
          </w:p>
        </w:tc>
        <w:tc>
          <w:tcPr>
            <w:tcW w:w="956" w:type="dxa"/>
            <w:noWrap/>
            <w:vAlign w:val="center"/>
          </w:tcPr>
          <w:p>
            <w:pPr>
              <w:jc w:val="center"/>
              <w:rPr>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555" w:type="dxa"/>
            <w:noWrap/>
            <w:vAlign w:val="center"/>
          </w:tcPr>
          <w:p>
            <w:pPr>
              <w:jc w:val="center"/>
              <w:rPr>
                <w:sz w:val="21"/>
                <w:szCs w:val="21"/>
              </w:rPr>
            </w:pPr>
            <w:r>
              <w:rPr>
                <w:rFonts w:hint="eastAsia"/>
                <w:sz w:val="21"/>
                <w:szCs w:val="21"/>
              </w:rPr>
              <w:t>（公共）打击和处置非法集资专项工作经费</w:t>
            </w:r>
          </w:p>
        </w:tc>
        <w:tc>
          <w:tcPr>
            <w:tcW w:w="1214" w:type="dxa"/>
            <w:noWrap/>
            <w:vAlign w:val="center"/>
          </w:tcPr>
          <w:p>
            <w:pPr>
              <w:rPr>
                <w:sz w:val="21"/>
                <w:szCs w:val="21"/>
              </w:rPr>
            </w:pPr>
            <w:r>
              <w:rPr>
                <w:rFonts w:hint="eastAsia"/>
                <w:sz w:val="21"/>
                <w:szCs w:val="21"/>
              </w:rPr>
              <w:t>经常性</w:t>
            </w:r>
          </w:p>
        </w:tc>
        <w:tc>
          <w:tcPr>
            <w:tcW w:w="3062" w:type="dxa"/>
            <w:noWrap/>
            <w:vAlign w:val="center"/>
          </w:tcPr>
          <w:p>
            <w:pPr>
              <w:jc w:val="center"/>
              <w:rPr>
                <w:sz w:val="21"/>
                <w:szCs w:val="21"/>
              </w:rPr>
            </w:pPr>
            <w:r>
              <w:rPr>
                <w:rFonts w:hint="eastAsia"/>
                <w:sz w:val="21"/>
                <w:szCs w:val="21"/>
              </w:rPr>
              <w:t>用于维护打非领导小组及成员中心工作运转</w:t>
            </w:r>
          </w:p>
        </w:tc>
        <w:tc>
          <w:tcPr>
            <w:tcW w:w="945" w:type="dxa"/>
            <w:noWrap/>
            <w:vAlign w:val="center"/>
          </w:tcPr>
          <w:p>
            <w:pPr>
              <w:jc w:val="right"/>
              <w:rPr>
                <w:rFonts w:hint="default" w:eastAsia="仿宋_GB2312"/>
                <w:sz w:val="21"/>
                <w:szCs w:val="21"/>
                <w:lang w:val="en-US" w:eastAsia="zh-CN"/>
              </w:rPr>
            </w:pPr>
            <w:r>
              <w:rPr>
                <w:rFonts w:hint="eastAsia"/>
                <w:sz w:val="21"/>
                <w:szCs w:val="21"/>
                <w:lang w:val="en-US" w:eastAsia="zh-CN"/>
              </w:rPr>
              <w:t>81.20</w:t>
            </w:r>
          </w:p>
        </w:tc>
        <w:tc>
          <w:tcPr>
            <w:tcW w:w="1005" w:type="dxa"/>
            <w:noWrap/>
            <w:vAlign w:val="center"/>
          </w:tcPr>
          <w:p>
            <w:pPr>
              <w:jc w:val="right"/>
              <w:rPr>
                <w:rFonts w:hint="default" w:eastAsia="仿宋_GB2312"/>
                <w:sz w:val="21"/>
                <w:szCs w:val="21"/>
                <w:lang w:val="en-US" w:eastAsia="zh-CN"/>
              </w:rPr>
            </w:pPr>
            <w:r>
              <w:rPr>
                <w:rFonts w:hint="eastAsia"/>
                <w:sz w:val="21"/>
                <w:szCs w:val="21"/>
                <w:lang w:val="en-US" w:eastAsia="zh-CN"/>
              </w:rPr>
              <w:t>81.20</w:t>
            </w:r>
          </w:p>
        </w:tc>
        <w:tc>
          <w:tcPr>
            <w:tcW w:w="840" w:type="dxa"/>
            <w:noWrap/>
            <w:vAlign w:val="center"/>
          </w:tcPr>
          <w:p>
            <w:pPr>
              <w:jc w:val="right"/>
              <w:rPr>
                <w:sz w:val="21"/>
                <w:szCs w:val="21"/>
              </w:rPr>
            </w:pPr>
            <w:r>
              <w:rPr>
                <w:rFonts w:hint="eastAsia"/>
                <w:sz w:val="21"/>
                <w:szCs w:val="21"/>
              </w:rPr>
              <w:t>40.88</w:t>
            </w:r>
          </w:p>
        </w:tc>
        <w:tc>
          <w:tcPr>
            <w:tcW w:w="956" w:type="dxa"/>
            <w:noWrap/>
            <w:vAlign w:val="center"/>
          </w:tcPr>
          <w:p>
            <w:pPr>
              <w:jc w:val="right"/>
              <w:rPr>
                <w:sz w:val="21"/>
                <w:szCs w:val="21"/>
              </w:rPr>
            </w:pPr>
            <w:r>
              <w:rPr>
                <w:rFonts w:hint="eastAsia"/>
                <w:sz w:val="21"/>
                <w:szCs w:val="21"/>
              </w:rPr>
              <w:t>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noWrap/>
            <w:vAlign w:val="center"/>
          </w:tcPr>
          <w:p>
            <w:pPr>
              <w:jc w:val="center"/>
              <w:rPr>
                <w:sz w:val="21"/>
                <w:szCs w:val="21"/>
              </w:rPr>
            </w:pPr>
            <w:r>
              <w:rPr>
                <w:rFonts w:hint="eastAsia"/>
                <w:sz w:val="21"/>
                <w:szCs w:val="21"/>
              </w:rPr>
              <w:t>（部门）打击和处置非法集资工作经费</w:t>
            </w:r>
          </w:p>
        </w:tc>
        <w:tc>
          <w:tcPr>
            <w:tcW w:w="1214" w:type="dxa"/>
            <w:noWrap/>
            <w:vAlign w:val="center"/>
          </w:tcPr>
          <w:p>
            <w:pPr>
              <w:rPr>
                <w:sz w:val="21"/>
                <w:szCs w:val="21"/>
              </w:rPr>
            </w:pPr>
            <w:r>
              <w:rPr>
                <w:rFonts w:hint="eastAsia"/>
                <w:sz w:val="21"/>
                <w:szCs w:val="21"/>
              </w:rPr>
              <w:t>经常性</w:t>
            </w:r>
          </w:p>
        </w:tc>
        <w:tc>
          <w:tcPr>
            <w:tcW w:w="3062" w:type="dxa"/>
            <w:noWrap/>
            <w:vAlign w:val="center"/>
          </w:tcPr>
          <w:p>
            <w:pPr>
              <w:jc w:val="center"/>
              <w:rPr>
                <w:sz w:val="21"/>
                <w:szCs w:val="21"/>
              </w:rPr>
            </w:pPr>
            <w:r>
              <w:rPr>
                <w:rFonts w:hint="eastAsia"/>
                <w:sz w:val="21"/>
                <w:szCs w:val="21"/>
              </w:rPr>
              <w:t>用于防范化解区域内金融风险</w:t>
            </w:r>
          </w:p>
        </w:tc>
        <w:tc>
          <w:tcPr>
            <w:tcW w:w="945" w:type="dxa"/>
            <w:noWrap/>
            <w:vAlign w:val="center"/>
          </w:tcPr>
          <w:p>
            <w:pPr>
              <w:jc w:val="right"/>
              <w:rPr>
                <w:sz w:val="21"/>
                <w:szCs w:val="21"/>
              </w:rPr>
            </w:pPr>
            <w:r>
              <w:rPr>
                <w:rFonts w:hint="eastAsia"/>
                <w:sz w:val="21"/>
                <w:szCs w:val="21"/>
              </w:rPr>
              <w:t>27.10</w:t>
            </w:r>
          </w:p>
        </w:tc>
        <w:tc>
          <w:tcPr>
            <w:tcW w:w="1005" w:type="dxa"/>
            <w:noWrap/>
            <w:vAlign w:val="center"/>
          </w:tcPr>
          <w:p>
            <w:pPr>
              <w:jc w:val="right"/>
              <w:rPr>
                <w:sz w:val="21"/>
                <w:szCs w:val="21"/>
              </w:rPr>
            </w:pPr>
            <w:r>
              <w:rPr>
                <w:rFonts w:hint="eastAsia"/>
                <w:sz w:val="21"/>
                <w:szCs w:val="21"/>
              </w:rPr>
              <w:t>27.10</w:t>
            </w:r>
          </w:p>
        </w:tc>
        <w:tc>
          <w:tcPr>
            <w:tcW w:w="840" w:type="dxa"/>
            <w:noWrap/>
            <w:vAlign w:val="center"/>
          </w:tcPr>
          <w:p>
            <w:pPr>
              <w:jc w:val="right"/>
              <w:rPr>
                <w:sz w:val="21"/>
                <w:szCs w:val="21"/>
              </w:rPr>
            </w:pPr>
            <w:r>
              <w:rPr>
                <w:rFonts w:hint="eastAsia"/>
                <w:sz w:val="21"/>
                <w:szCs w:val="21"/>
              </w:rPr>
              <w:t>27.10</w:t>
            </w:r>
          </w:p>
        </w:tc>
        <w:tc>
          <w:tcPr>
            <w:tcW w:w="956" w:type="dxa"/>
            <w:noWrap/>
            <w:vAlign w:val="center"/>
          </w:tcPr>
          <w:p>
            <w:pPr>
              <w:jc w:val="right"/>
              <w:rPr>
                <w:sz w:val="21"/>
                <w:szCs w:val="21"/>
              </w:rPr>
            </w:pPr>
            <w:r>
              <w:rPr>
                <w:rFonts w:hint="eastAsia"/>
                <w:sz w:val="21"/>
                <w:szCs w:val="21"/>
              </w:rPr>
              <w:t>27.10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noWrap/>
            <w:vAlign w:val="center"/>
          </w:tcPr>
          <w:p>
            <w:pPr>
              <w:jc w:val="center"/>
              <w:rPr>
                <w:sz w:val="21"/>
                <w:szCs w:val="21"/>
              </w:rPr>
            </w:pPr>
            <w:r>
              <w:rPr>
                <w:rFonts w:hint="eastAsia"/>
                <w:sz w:val="21"/>
                <w:szCs w:val="21"/>
              </w:rPr>
              <w:t>金融产业培育经费</w:t>
            </w:r>
          </w:p>
        </w:tc>
        <w:tc>
          <w:tcPr>
            <w:tcW w:w="1214" w:type="dxa"/>
            <w:noWrap/>
            <w:vAlign w:val="center"/>
          </w:tcPr>
          <w:p>
            <w:pPr>
              <w:rPr>
                <w:sz w:val="21"/>
                <w:szCs w:val="21"/>
              </w:rPr>
            </w:pPr>
            <w:r>
              <w:rPr>
                <w:rFonts w:hint="eastAsia"/>
                <w:sz w:val="21"/>
                <w:szCs w:val="21"/>
              </w:rPr>
              <w:t>经常性</w:t>
            </w:r>
          </w:p>
        </w:tc>
        <w:tc>
          <w:tcPr>
            <w:tcW w:w="3062" w:type="dxa"/>
            <w:noWrap/>
            <w:vAlign w:val="center"/>
          </w:tcPr>
          <w:p>
            <w:pPr>
              <w:jc w:val="center"/>
              <w:rPr>
                <w:sz w:val="21"/>
                <w:szCs w:val="21"/>
              </w:rPr>
            </w:pPr>
            <w:r>
              <w:rPr>
                <w:rFonts w:hint="eastAsia"/>
                <w:sz w:val="21"/>
                <w:szCs w:val="21"/>
              </w:rPr>
              <w:t>用于区内金融产业培育工作</w:t>
            </w:r>
          </w:p>
        </w:tc>
        <w:tc>
          <w:tcPr>
            <w:tcW w:w="945" w:type="dxa"/>
            <w:noWrap/>
            <w:vAlign w:val="center"/>
          </w:tcPr>
          <w:p>
            <w:pPr>
              <w:jc w:val="right"/>
              <w:rPr>
                <w:sz w:val="21"/>
                <w:szCs w:val="21"/>
              </w:rPr>
            </w:pPr>
            <w:r>
              <w:rPr>
                <w:rFonts w:hint="eastAsia"/>
                <w:sz w:val="21"/>
                <w:szCs w:val="21"/>
              </w:rPr>
              <w:t>22.50</w:t>
            </w:r>
          </w:p>
        </w:tc>
        <w:tc>
          <w:tcPr>
            <w:tcW w:w="1005" w:type="dxa"/>
            <w:noWrap/>
            <w:vAlign w:val="center"/>
          </w:tcPr>
          <w:p>
            <w:pPr>
              <w:jc w:val="right"/>
              <w:rPr>
                <w:sz w:val="21"/>
                <w:szCs w:val="21"/>
              </w:rPr>
            </w:pPr>
            <w:r>
              <w:rPr>
                <w:rFonts w:hint="eastAsia"/>
                <w:sz w:val="21"/>
                <w:szCs w:val="21"/>
              </w:rPr>
              <w:t>22.50</w:t>
            </w:r>
          </w:p>
        </w:tc>
        <w:tc>
          <w:tcPr>
            <w:tcW w:w="840" w:type="dxa"/>
            <w:noWrap/>
            <w:vAlign w:val="center"/>
          </w:tcPr>
          <w:p>
            <w:pPr>
              <w:jc w:val="right"/>
              <w:rPr>
                <w:sz w:val="21"/>
                <w:szCs w:val="21"/>
              </w:rPr>
            </w:pPr>
            <w:r>
              <w:rPr>
                <w:rFonts w:hint="eastAsia"/>
                <w:sz w:val="21"/>
                <w:szCs w:val="21"/>
              </w:rPr>
              <w:t>22.50</w:t>
            </w:r>
          </w:p>
        </w:tc>
        <w:tc>
          <w:tcPr>
            <w:tcW w:w="956" w:type="dxa"/>
            <w:noWrap/>
            <w:vAlign w:val="center"/>
          </w:tcPr>
          <w:p>
            <w:pPr>
              <w:jc w:val="right"/>
              <w:rPr>
                <w:sz w:val="21"/>
                <w:szCs w:val="21"/>
              </w:rPr>
            </w:pPr>
            <w:r>
              <w:rPr>
                <w:rFonts w:hint="eastAsia"/>
                <w:sz w:val="21"/>
                <w:szCs w:val="21"/>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noWrap/>
            <w:vAlign w:val="center"/>
          </w:tcPr>
          <w:p>
            <w:pPr>
              <w:jc w:val="center"/>
              <w:rPr>
                <w:sz w:val="21"/>
                <w:szCs w:val="21"/>
              </w:rPr>
            </w:pPr>
            <w:r>
              <w:rPr>
                <w:rFonts w:hint="eastAsia"/>
                <w:sz w:val="21"/>
                <w:szCs w:val="21"/>
              </w:rPr>
              <w:t>金融监管工作经费</w:t>
            </w:r>
          </w:p>
        </w:tc>
        <w:tc>
          <w:tcPr>
            <w:tcW w:w="1214" w:type="dxa"/>
            <w:noWrap/>
            <w:vAlign w:val="center"/>
          </w:tcPr>
          <w:p>
            <w:pPr>
              <w:rPr>
                <w:sz w:val="21"/>
                <w:szCs w:val="21"/>
              </w:rPr>
            </w:pPr>
            <w:r>
              <w:rPr>
                <w:rFonts w:hint="eastAsia"/>
                <w:sz w:val="21"/>
                <w:szCs w:val="21"/>
              </w:rPr>
              <w:t>经常性</w:t>
            </w:r>
          </w:p>
        </w:tc>
        <w:tc>
          <w:tcPr>
            <w:tcW w:w="3062" w:type="dxa"/>
            <w:noWrap/>
            <w:vAlign w:val="center"/>
          </w:tcPr>
          <w:p>
            <w:pPr>
              <w:jc w:val="center"/>
              <w:rPr>
                <w:sz w:val="21"/>
                <w:szCs w:val="21"/>
              </w:rPr>
            </w:pPr>
            <w:r>
              <w:rPr>
                <w:rFonts w:hint="eastAsia"/>
                <w:sz w:val="21"/>
                <w:szCs w:val="21"/>
              </w:rPr>
              <w:t>用于金融行业监管工作</w:t>
            </w:r>
          </w:p>
        </w:tc>
        <w:tc>
          <w:tcPr>
            <w:tcW w:w="945" w:type="dxa"/>
            <w:noWrap/>
            <w:vAlign w:val="center"/>
          </w:tcPr>
          <w:p>
            <w:pPr>
              <w:jc w:val="right"/>
              <w:rPr>
                <w:sz w:val="21"/>
                <w:szCs w:val="21"/>
              </w:rPr>
            </w:pPr>
            <w:r>
              <w:rPr>
                <w:rFonts w:hint="eastAsia"/>
                <w:sz w:val="21"/>
                <w:szCs w:val="21"/>
              </w:rPr>
              <w:t>22.50</w:t>
            </w:r>
          </w:p>
        </w:tc>
        <w:tc>
          <w:tcPr>
            <w:tcW w:w="1005" w:type="dxa"/>
            <w:noWrap/>
            <w:vAlign w:val="center"/>
          </w:tcPr>
          <w:p>
            <w:pPr>
              <w:jc w:val="right"/>
              <w:rPr>
                <w:sz w:val="21"/>
                <w:szCs w:val="21"/>
              </w:rPr>
            </w:pPr>
            <w:r>
              <w:rPr>
                <w:rFonts w:hint="eastAsia"/>
                <w:sz w:val="21"/>
                <w:szCs w:val="21"/>
              </w:rPr>
              <w:t>22.50</w:t>
            </w:r>
          </w:p>
        </w:tc>
        <w:tc>
          <w:tcPr>
            <w:tcW w:w="840" w:type="dxa"/>
            <w:noWrap/>
            <w:vAlign w:val="center"/>
          </w:tcPr>
          <w:p>
            <w:pPr>
              <w:jc w:val="right"/>
              <w:rPr>
                <w:sz w:val="21"/>
                <w:szCs w:val="21"/>
              </w:rPr>
            </w:pPr>
            <w:r>
              <w:rPr>
                <w:rFonts w:hint="eastAsia"/>
                <w:sz w:val="21"/>
                <w:szCs w:val="21"/>
              </w:rPr>
              <w:t>22.50</w:t>
            </w:r>
          </w:p>
        </w:tc>
        <w:tc>
          <w:tcPr>
            <w:tcW w:w="956" w:type="dxa"/>
            <w:noWrap/>
            <w:vAlign w:val="center"/>
          </w:tcPr>
          <w:p>
            <w:pPr>
              <w:jc w:val="right"/>
              <w:rPr>
                <w:sz w:val="21"/>
                <w:szCs w:val="21"/>
              </w:rPr>
            </w:pPr>
            <w:r>
              <w:rPr>
                <w:rFonts w:hint="eastAsia"/>
                <w:sz w:val="21"/>
                <w:szCs w:val="21"/>
              </w:rPr>
              <w:t>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55" w:type="dxa"/>
            <w:noWrap/>
            <w:vAlign w:val="center"/>
          </w:tcPr>
          <w:p>
            <w:pPr>
              <w:jc w:val="center"/>
              <w:rPr>
                <w:sz w:val="21"/>
                <w:szCs w:val="21"/>
              </w:rPr>
            </w:pPr>
            <w:r>
              <w:rPr>
                <w:rFonts w:hint="eastAsia"/>
                <w:sz w:val="21"/>
                <w:szCs w:val="21"/>
              </w:rPr>
              <w:t>打非案件司法鉴定中介费</w:t>
            </w:r>
          </w:p>
        </w:tc>
        <w:tc>
          <w:tcPr>
            <w:tcW w:w="1214" w:type="dxa"/>
            <w:noWrap/>
            <w:vAlign w:val="center"/>
          </w:tcPr>
          <w:p>
            <w:pPr>
              <w:rPr>
                <w:sz w:val="21"/>
                <w:szCs w:val="21"/>
              </w:rPr>
            </w:pPr>
            <w:r>
              <w:rPr>
                <w:rFonts w:hint="eastAsia"/>
                <w:sz w:val="21"/>
                <w:szCs w:val="21"/>
              </w:rPr>
              <w:t>经常性</w:t>
            </w:r>
          </w:p>
        </w:tc>
        <w:tc>
          <w:tcPr>
            <w:tcW w:w="3062" w:type="dxa"/>
            <w:noWrap/>
            <w:vAlign w:val="center"/>
          </w:tcPr>
          <w:p>
            <w:pPr>
              <w:jc w:val="center"/>
              <w:rPr>
                <w:sz w:val="21"/>
                <w:szCs w:val="21"/>
              </w:rPr>
            </w:pPr>
            <w:r>
              <w:rPr>
                <w:rFonts w:hint="eastAsia"/>
                <w:sz w:val="21"/>
                <w:szCs w:val="21"/>
              </w:rPr>
              <w:t>用于打非案件鉴定工作</w:t>
            </w:r>
          </w:p>
        </w:tc>
        <w:tc>
          <w:tcPr>
            <w:tcW w:w="945" w:type="dxa"/>
            <w:noWrap/>
            <w:vAlign w:val="center"/>
          </w:tcPr>
          <w:p>
            <w:pPr>
              <w:jc w:val="right"/>
              <w:rPr>
                <w:rFonts w:hint="default" w:eastAsia="仿宋_GB2312"/>
                <w:sz w:val="21"/>
                <w:szCs w:val="21"/>
                <w:lang w:val="en-US" w:eastAsia="zh-CN"/>
              </w:rPr>
            </w:pPr>
            <w:r>
              <w:rPr>
                <w:rFonts w:hint="eastAsia"/>
                <w:sz w:val="21"/>
                <w:szCs w:val="21"/>
                <w:lang w:val="en-US" w:eastAsia="zh-CN"/>
              </w:rPr>
              <w:t>85.50</w:t>
            </w:r>
          </w:p>
        </w:tc>
        <w:tc>
          <w:tcPr>
            <w:tcW w:w="1005" w:type="dxa"/>
            <w:noWrap/>
            <w:vAlign w:val="center"/>
          </w:tcPr>
          <w:p>
            <w:pPr>
              <w:jc w:val="right"/>
              <w:rPr>
                <w:rFonts w:hint="default" w:eastAsia="仿宋_GB2312"/>
                <w:sz w:val="21"/>
                <w:szCs w:val="21"/>
                <w:lang w:val="en-US" w:eastAsia="zh-CN"/>
              </w:rPr>
            </w:pPr>
            <w:r>
              <w:rPr>
                <w:rFonts w:hint="eastAsia"/>
                <w:sz w:val="21"/>
                <w:szCs w:val="21"/>
                <w:lang w:val="en-US" w:eastAsia="zh-CN"/>
              </w:rPr>
              <w:t>85.50</w:t>
            </w:r>
          </w:p>
        </w:tc>
        <w:tc>
          <w:tcPr>
            <w:tcW w:w="840" w:type="dxa"/>
            <w:noWrap/>
            <w:vAlign w:val="center"/>
          </w:tcPr>
          <w:p>
            <w:pPr>
              <w:jc w:val="right"/>
              <w:rPr>
                <w:sz w:val="21"/>
                <w:szCs w:val="21"/>
              </w:rPr>
            </w:pPr>
            <w:r>
              <w:rPr>
                <w:rFonts w:hint="eastAsia"/>
                <w:sz w:val="21"/>
                <w:szCs w:val="21"/>
              </w:rPr>
              <w:t>1.37</w:t>
            </w:r>
          </w:p>
        </w:tc>
        <w:tc>
          <w:tcPr>
            <w:tcW w:w="956" w:type="dxa"/>
            <w:noWrap/>
            <w:vAlign w:val="center"/>
          </w:tcPr>
          <w:p>
            <w:pPr>
              <w:jc w:val="right"/>
              <w:rPr>
                <w:sz w:val="21"/>
                <w:szCs w:val="21"/>
              </w:rPr>
            </w:pPr>
            <w:r>
              <w:rPr>
                <w:rFonts w:hint="eastAsia"/>
                <w:sz w:val="21"/>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831" w:type="dxa"/>
            <w:gridSpan w:val="3"/>
            <w:noWrap/>
            <w:vAlign w:val="center"/>
          </w:tcPr>
          <w:p>
            <w:pPr>
              <w:tabs>
                <w:tab w:val="left" w:pos="2243"/>
              </w:tabs>
              <w:rPr>
                <w:sz w:val="21"/>
                <w:szCs w:val="21"/>
              </w:rPr>
            </w:pPr>
            <w:r>
              <w:rPr>
                <w:rFonts w:hint="eastAsia"/>
                <w:sz w:val="21"/>
                <w:szCs w:val="21"/>
              </w:rPr>
              <w:tab/>
            </w:r>
            <w:r>
              <w:rPr>
                <w:rFonts w:hint="eastAsia"/>
                <w:sz w:val="21"/>
                <w:szCs w:val="21"/>
              </w:rPr>
              <w:t>合计</w:t>
            </w:r>
          </w:p>
        </w:tc>
        <w:tc>
          <w:tcPr>
            <w:tcW w:w="945" w:type="dxa"/>
            <w:noWrap/>
            <w:vAlign w:val="center"/>
          </w:tcPr>
          <w:p>
            <w:pPr>
              <w:jc w:val="right"/>
              <w:rPr>
                <w:rFonts w:hint="default" w:eastAsia="仿宋_GB2312"/>
                <w:sz w:val="21"/>
                <w:szCs w:val="21"/>
                <w:lang w:val="en-US" w:eastAsia="zh-CN"/>
              </w:rPr>
            </w:pPr>
            <w:r>
              <w:rPr>
                <w:rFonts w:hint="eastAsia"/>
                <w:sz w:val="21"/>
                <w:szCs w:val="21"/>
                <w:lang w:val="en-US" w:eastAsia="zh-CN"/>
              </w:rPr>
              <w:t>238.80</w:t>
            </w:r>
          </w:p>
        </w:tc>
        <w:tc>
          <w:tcPr>
            <w:tcW w:w="1005" w:type="dxa"/>
            <w:noWrap/>
            <w:vAlign w:val="center"/>
          </w:tcPr>
          <w:p>
            <w:pPr>
              <w:jc w:val="right"/>
              <w:rPr>
                <w:rFonts w:hint="default" w:eastAsia="仿宋_GB2312"/>
                <w:sz w:val="21"/>
                <w:szCs w:val="21"/>
                <w:lang w:val="en-US" w:eastAsia="zh-CN"/>
              </w:rPr>
            </w:pPr>
            <w:r>
              <w:rPr>
                <w:rFonts w:hint="eastAsia"/>
                <w:sz w:val="21"/>
                <w:szCs w:val="21"/>
                <w:lang w:val="en-US" w:eastAsia="zh-CN"/>
              </w:rPr>
              <w:t>238.80</w:t>
            </w:r>
          </w:p>
        </w:tc>
        <w:tc>
          <w:tcPr>
            <w:tcW w:w="840" w:type="dxa"/>
            <w:noWrap/>
            <w:vAlign w:val="center"/>
          </w:tcPr>
          <w:p>
            <w:pPr>
              <w:jc w:val="right"/>
              <w:rPr>
                <w:sz w:val="21"/>
                <w:szCs w:val="21"/>
              </w:rPr>
            </w:pPr>
            <w:r>
              <w:rPr>
                <w:rFonts w:hint="eastAsia"/>
                <w:sz w:val="21"/>
                <w:szCs w:val="21"/>
              </w:rPr>
              <w:t>114.35</w:t>
            </w:r>
          </w:p>
        </w:tc>
        <w:tc>
          <w:tcPr>
            <w:tcW w:w="956" w:type="dxa"/>
            <w:noWrap/>
            <w:vAlign w:val="center"/>
          </w:tcPr>
          <w:p>
            <w:pPr>
              <w:jc w:val="right"/>
              <w:rPr>
                <w:sz w:val="21"/>
                <w:szCs w:val="21"/>
              </w:rPr>
            </w:pPr>
            <w:r>
              <w:rPr>
                <w:rFonts w:hint="eastAsia"/>
                <w:sz w:val="21"/>
                <w:szCs w:val="21"/>
              </w:rPr>
              <w:t>114.35</w:t>
            </w:r>
          </w:p>
        </w:tc>
      </w:tr>
    </w:tbl>
    <w:p>
      <w:pPr>
        <w:pStyle w:val="5"/>
        <w:numPr>
          <w:ilvl w:val="0"/>
          <w:numId w:val="1"/>
        </w:numPr>
      </w:pPr>
      <w:r>
        <w:rPr>
          <w:rFonts w:hint="eastAsia"/>
          <w:sz w:val="30"/>
          <w:szCs w:val="30"/>
        </w:rPr>
        <w:t>项目绩效</w:t>
      </w:r>
      <w:r>
        <w:rPr>
          <w:sz w:val="30"/>
          <w:szCs w:val="30"/>
        </w:rPr>
        <w:t>目标</w:t>
      </w:r>
      <w:r>
        <w:rPr>
          <w:rFonts w:hint="eastAsia"/>
          <w:sz w:val="30"/>
          <w:szCs w:val="30"/>
        </w:rPr>
        <w:t>情</w:t>
      </w:r>
      <w:r>
        <w:rPr>
          <w:rFonts w:hint="eastAsia"/>
          <w:sz w:val="30"/>
          <w:szCs w:val="30"/>
          <w:lang w:eastAsia="zh-CN"/>
        </w:rPr>
        <w:t>况</w:t>
      </w:r>
    </w:p>
    <w:p>
      <w:pPr>
        <w:numPr>
          <w:ilvl w:val="0"/>
          <w:numId w:val="2"/>
        </w:numPr>
        <w:rPr>
          <w:rFonts w:hint="eastAsia" w:ascii="仿宋" w:hAnsi="仿宋" w:eastAsia="仿宋" w:cs="仿宋"/>
          <w:szCs w:val="28"/>
          <w:lang w:val="en-US" w:eastAsia="zh-CN"/>
        </w:rPr>
      </w:pPr>
      <w:r>
        <w:rPr>
          <w:rFonts w:hint="eastAsia" w:ascii="仿宋" w:hAnsi="仿宋" w:eastAsia="仿宋" w:cs="仿宋"/>
          <w:szCs w:val="28"/>
        </w:rPr>
        <w:t>（公共）打击</w:t>
      </w:r>
      <w:r>
        <w:rPr>
          <w:rFonts w:hint="eastAsia" w:ascii="仿宋" w:hAnsi="仿宋" w:eastAsia="仿宋" w:cs="仿宋"/>
          <w:szCs w:val="28"/>
          <w:lang w:val="en-US" w:eastAsia="zh-CN"/>
        </w:rPr>
        <w:t>和处置非法集资,主要</w:t>
      </w:r>
      <w:r>
        <w:rPr>
          <w:rFonts w:hint="eastAsia" w:ascii="仿宋" w:hAnsi="仿宋" w:eastAsia="仿宋" w:cs="仿宋"/>
          <w:szCs w:val="28"/>
        </w:rPr>
        <w:t>联合成员中心做好区域内防非处非工作</w:t>
      </w:r>
      <w:r>
        <w:rPr>
          <w:rFonts w:hint="eastAsia" w:ascii="仿宋" w:hAnsi="仿宋" w:eastAsia="仿宋" w:cs="仿宋"/>
          <w:szCs w:val="28"/>
          <w:lang w:eastAsia="zh-CN"/>
        </w:rPr>
        <w:t>，年度内计划组织辖区内</w:t>
      </w:r>
      <w:r>
        <w:rPr>
          <w:rFonts w:hint="eastAsia" w:ascii="仿宋" w:hAnsi="仿宋" w:eastAsia="仿宋" w:cs="仿宋"/>
          <w:szCs w:val="28"/>
          <w:lang w:val="en-US" w:eastAsia="zh-CN"/>
        </w:rPr>
        <w:t>40家成员单位召开</w:t>
      </w:r>
      <w:r>
        <w:rPr>
          <w:rFonts w:hint="eastAsia"/>
          <w:szCs w:val="28"/>
        </w:rPr>
        <w:t>防范化解涉众型非法经营活动稳定风险联席会议</w:t>
      </w:r>
      <w:r>
        <w:rPr>
          <w:rFonts w:hint="eastAsia"/>
          <w:szCs w:val="28"/>
          <w:lang w:eastAsia="zh-CN"/>
        </w:rPr>
        <w:t>；制定</w:t>
      </w:r>
      <w:r>
        <w:rPr>
          <w:rFonts w:hint="eastAsia"/>
          <w:szCs w:val="28"/>
        </w:rPr>
        <w:t>《开福区涉众型非法经营活动稳定风险排查整治行动方案》等文件</w:t>
      </w:r>
      <w:r>
        <w:rPr>
          <w:rFonts w:hint="eastAsia"/>
          <w:szCs w:val="28"/>
          <w:lang w:eastAsia="zh-CN"/>
        </w:rPr>
        <w:t>；</w:t>
      </w:r>
      <w:r>
        <w:rPr>
          <w:rFonts w:hint="eastAsia"/>
          <w:szCs w:val="28"/>
        </w:rPr>
        <w:t>制定了“两节”宣传、第9个集中宣传月等专项宣传活动方案</w:t>
      </w:r>
      <w:r>
        <w:rPr>
          <w:rFonts w:hint="eastAsia"/>
          <w:szCs w:val="28"/>
          <w:lang w:eastAsia="zh-CN"/>
        </w:rPr>
        <w:t>，计划组织大型宣传活动</w:t>
      </w:r>
      <w:r>
        <w:rPr>
          <w:rFonts w:hint="eastAsia"/>
          <w:szCs w:val="28"/>
          <w:lang w:val="en-US" w:eastAsia="zh-CN"/>
        </w:rPr>
        <w:t>50次、</w:t>
      </w:r>
      <w:r>
        <w:rPr>
          <w:rFonts w:hint="eastAsia"/>
          <w:szCs w:val="28"/>
        </w:rPr>
        <w:t>“七进”集中宣讲活动</w:t>
      </w:r>
      <w:r>
        <w:rPr>
          <w:rFonts w:hint="eastAsia"/>
          <w:szCs w:val="28"/>
          <w:lang w:val="en-US" w:eastAsia="zh-CN"/>
        </w:rPr>
        <w:t>750</w:t>
      </w:r>
      <w:r>
        <w:rPr>
          <w:rFonts w:hint="eastAsia"/>
          <w:szCs w:val="28"/>
        </w:rPr>
        <w:t>次</w:t>
      </w:r>
      <w:r>
        <w:rPr>
          <w:rFonts w:hint="eastAsia"/>
          <w:szCs w:val="28"/>
          <w:lang w:eastAsia="zh-CN"/>
        </w:rPr>
        <w:t>；继续</w:t>
      </w:r>
      <w:r>
        <w:rPr>
          <w:rFonts w:hint="eastAsia"/>
          <w:szCs w:val="28"/>
        </w:rPr>
        <w:t>聚焦万达广场“一非三贷” 巡视整改突出问题 “回头看”工作,持续开展整治</w:t>
      </w:r>
      <w:r>
        <w:rPr>
          <w:rFonts w:hint="eastAsia"/>
          <w:szCs w:val="28"/>
          <w:lang w:eastAsia="zh-CN"/>
        </w:rPr>
        <w:t>；组织</w:t>
      </w:r>
      <w:r>
        <w:rPr>
          <w:rFonts w:hint="eastAsia"/>
          <w:szCs w:val="28"/>
        </w:rPr>
        <w:t>“防范非法集资知识答题团队争霸赛”</w:t>
      </w:r>
      <w:r>
        <w:rPr>
          <w:rFonts w:hint="eastAsia"/>
          <w:szCs w:val="28"/>
          <w:lang w:eastAsia="zh-CN"/>
        </w:rPr>
        <w:t>抢答赛；</w:t>
      </w:r>
      <w:r>
        <w:rPr>
          <w:rFonts w:hint="eastAsia"/>
          <w:szCs w:val="28"/>
        </w:rPr>
        <w:t>号召干部职工（1490余人）积极参加“防范非法集资知识答题团队争霸</w:t>
      </w:r>
      <w:r>
        <w:rPr>
          <w:rFonts w:hint="eastAsia" w:ascii="仿宋" w:hAnsi="仿宋" w:eastAsia="仿宋" w:cs="仿宋"/>
          <w:szCs w:val="28"/>
          <w:lang w:val="en-US" w:eastAsia="zh-CN"/>
        </w:rPr>
        <w:t>赛”进行答题（共计得分13.41万分），为省级排名贡献助力；</w:t>
      </w:r>
    </w:p>
    <w:p>
      <w:pPr>
        <w:numPr>
          <w:ilvl w:val="0"/>
          <w:numId w:val="2"/>
        </w:numPr>
        <w:rPr>
          <w:rFonts w:hint="eastAsia" w:ascii="仿宋" w:hAnsi="仿宋" w:eastAsia="仿宋" w:cs="仿宋"/>
          <w:szCs w:val="28"/>
          <w:lang w:val="en-US" w:eastAsia="zh-CN"/>
        </w:rPr>
      </w:pPr>
      <w:r>
        <w:rPr>
          <w:rFonts w:hint="eastAsia" w:ascii="仿宋" w:hAnsi="仿宋" w:eastAsia="仿宋" w:cs="仿宋"/>
          <w:szCs w:val="28"/>
          <w:lang w:val="en-US" w:eastAsia="zh-CN"/>
        </w:rPr>
        <w:t>（部门）打击和处置非法集资，主要用于防范化解区域内金融风险，年度内本单位计划组织发放宣传手册及制品6.5万份，公益广告宣传6000次，发送警示短信4万条；排查非法集资风险隐患；</w:t>
      </w:r>
    </w:p>
    <w:p>
      <w:pPr>
        <w:numPr>
          <w:ilvl w:val="0"/>
          <w:numId w:val="2"/>
        </w:numPr>
        <w:rPr>
          <w:rFonts w:hint="eastAsia"/>
          <w:szCs w:val="28"/>
          <w:lang w:val="en-US" w:eastAsia="zh-CN"/>
        </w:rPr>
      </w:pPr>
      <w:r>
        <w:rPr>
          <w:rFonts w:hint="eastAsia" w:ascii="仿宋" w:hAnsi="仿宋" w:eastAsia="仿宋" w:cs="仿宋"/>
          <w:szCs w:val="28"/>
          <w:lang w:val="en-US" w:eastAsia="zh-CN"/>
        </w:rPr>
        <w:t>金融产业培育，主要做好区内金融产业培育工作，年度内本单</w:t>
      </w:r>
      <w:bookmarkStart w:id="0" w:name="_GoBack"/>
      <w:bookmarkEnd w:id="0"/>
      <w:r>
        <w:rPr>
          <w:rFonts w:hint="eastAsia" w:ascii="仿宋" w:hAnsi="仿宋" w:eastAsia="仿宋" w:cs="仿宋"/>
          <w:szCs w:val="28"/>
          <w:lang w:val="en-US" w:eastAsia="zh-CN"/>
        </w:rPr>
        <w:t>位计划教育培训企业200家、咨询服务企业300家、影视传媒企业120家、电子商务企业500家、房地产企业120家、医疗美容健康企业240家，其他行业企业900家，对风险控制不足、缺乏持续经营能力</w:t>
      </w:r>
      <w:r>
        <w:rPr>
          <w:rFonts w:hint="eastAsia"/>
          <w:szCs w:val="28"/>
        </w:rPr>
        <w:t>的企业，采取</w:t>
      </w:r>
      <w:r>
        <w:rPr>
          <w:rFonts w:hint="eastAsia"/>
          <w:szCs w:val="28"/>
          <w:lang w:eastAsia="zh-CN"/>
        </w:rPr>
        <w:t>加强培训及</w:t>
      </w:r>
      <w:r>
        <w:rPr>
          <w:rFonts w:hint="eastAsia"/>
          <w:szCs w:val="28"/>
        </w:rPr>
        <w:t>责令整改</w:t>
      </w:r>
      <w:r>
        <w:rPr>
          <w:rFonts w:hint="eastAsia"/>
          <w:szCs w:val="28"/>
          <w:lang w:eastAsia="zh-CN"/>
        </w:rPr>
        <w:t>相结合的方式进行培育；对</w:t>
      </w:r>
      <w:r>
        <w:rPr>
          <w:rFonts w:hint="eastAsia" w:eastAsia="仿宋_GB2312"/>
          <w:sz w:val="32"/>
          <w:szCs w:val="32"/>
        </w:rPr>
        <w:t>有融资需求的企业开展“惠企暖风行动”、“党建引领、助力千企行动”；对接招商银行、农业银行、台湾合作金库银行等在化解房地产</w:t>
      </w:r>
      <w:r>
        <w:rPr>
          <w:rFonts w:hint="eastAsia" w:ascii="Times New Roman" w:hAnsi="Times New Roman" w:eastAsia="仿宋_GB2312"/>
          <w:sz w:val="32"/>
          <w:szCs w:val="32"/>
        </w:rPr>
        <w:t>风险、涉农贷款、政府性债券等方面给予支持</w:t>
      </w:r>
      <w:r>
        <w:rPr>
          <w:rFonts w:hint="eastAsia"/>
          <w:sz w:val="32"/>
          <w:szCs w:val="32"/>
          <w:lang w:eastAsia="zh-CN"/>
        </w:rPr>
        <w:t>；计划培育区内一家企业上市；</w:t>
      </w:r>
    </w:p>
    <w:p>
      <w:pPr>
        <w:numPr>
          <w:ilvl w:val="0"/>
          <w:numId w:val="0"/>
        </w:numPr>
        <w:rPr>
          <w:rFonts w:hint="eastAsia" w:ascii="Times New Roman" w:hAnsi="Times New Roman" w:eastAsia="仿宋_GB2312" w:cs="Times New Roman"/>
          <w:i w:val="0"/>
          <w:kern w:val="2"/>
          <w:sz w:val="28"/>
          <w:szCs w:val="28"/>
          <w:lang w:val="en-US" w:eastAsia="zh-CN" w:bidi="ar-SA"/>
        </w:rPr>
      </w:pPr>
      <w:r>
        <w:rPr>
          <w:rFonts w:hint="eastAsia"/>
          <w:szCs w:val="28"/>
          <w:lang w:val="en-US" w:eastAsia="zh-CN"/>
        </w:rPr>
        <w:t>（4）金融监管工作，做好金融行业监管工作，年度内本单位计划组织10场</w:t>
      </w:r>
      <w:r>
        <w:rPr>
          <w:rFonts w:hint="eastAsia" w:ascii="Times New Roman" w:hAnsi="Times New Roman" w:eastAsia="仿宋_GB2312" w:cs="Times New Roman"/>
          <w:sz w:val="32"/>
          <w:szCs w:val="32"/>
          <w:lang w:val="en-US" w:eastAsia="zh-CN" w:bidi="ar-SA"/>
        </w:rPr>
        <w:t>银企对接会，引导</w:t>
      </w:r>
      <w:r>
        <w:rPr>
          <w:rFonts w:hint="eastAsia" w:ascii="Times New Roman" w:hAnsi="Times New Roman" w:cs="Times New Roman"/>
          <w:sz w:val="32"/>
          <w:szCs w:val="32"/>
          <w:lang w:val="en-US" w:eastAsia="zh-CN" w:bidi="ar-SA"/>
        </w:rPr>
        <w:t>辖区内</w:t>
      </w:r>
      <w:r>
        <w:rPr>
          <w:rFonts w:hint="eastAsia" w:ascii="Times New Roman" w:hAnsi="Times New Roman" w:eastAsia="仿宋_GB2312" w:cs="Times New Roman"/>
          <w:sz w:val="32"/>
          <w:szCs w:val="32"/>
          <w:lang w:val="en-US" w:eastAsia="zh-CN" w:bidi="ar-SA"/>
        </w:rPr>
        <w:t>金融机构为家企业提供金融服务，宣</w:t>
      </w:r>
      <w:r>
        <w:rPr>
          <w:rFonts w:hint="eastAsia" w:eastAsia="仿宋_GB2312"/>
          <w:sz w:val="32"/>
          <w:szCs w:val="32"/>
        </w:rPr>
        <w:t>讲金融惠企政策</w:t>
      </w:r>
      <w:r>
        <w:rPr>
          <w:rFonts w:hint="eastAsia"/>
          <w:sz w:val="32"/>
          <w:szCs w:val="32"/>
          <w:lang w:eastAsia="zh-CN"/>
        </w:rPr>
        <w:t>；计划</w:t>
      </w:r>
      <w:r>
        <w:rPr>
          <w:rFonts w:hint="eastAsia" w:ascii="Times New Roman" w:hAnsi="Times New Roman" w:eastAsia="仿宋_GB2312"/>
          <w:sz w:val="32"/>
          <w:szCs w:val="32"/>
          <w:lang w:eastAsia="zh-CN"/>
        </w:rPr>
        <w:t>在</w:t>
      </w:r>
      <w:r>
        <w:rPr>
          <w:rFonts w:hint="eastAsia"/>
          <w:sz w:val="32"/>
          <w:szCs w:val="32"/>
          <w:lang w:eastAsia="zh-CN"/>
        </w:rPr>
        <w:t>辖区内的</w:t>
      </w:r>
      <w:r>
        <w:rPr>
          <w:rFonts w:hint="eastAsia" w:ascii="Times New Roman" w:hAnsi="Times New Roman" w:eastAsia="仿宋_GB2312"/>
          <w:sz w:val="32"/>
          <w:szCs w:val="32"/>
          <w:lang w:val="en-US" w:eastAsia="zh-CN"/>
        </w:rPr>
        <w:t>16个</w:t>
      </w:r>
      <w:r>
        <w:rPr>
          <w:rFonts w:hint="eastAsia" w:ascii="Times New Roman" w:hAnsi="Times New Roman" w:eastAsia="仿宋_GB2312"/>
          <w:sz w:val="32"/>
          <w:szCs w:val="32"/>
        </w:rPr>
        <w:t>街道建立起防非处非工作专班，组建以区级专班为统领，街道专班齐抓共管，信息互通的常态化预警模式。街道专班组织本辖区实施“一地一方案”的精准排查</w:t>
      </w:r>
      <w:r>
        <w:rPr>
          <w:rFonts w:hint="eastAsia"/>
          <w:sz w:val="32"/>
          <w:szCs w:val="32"/>
          <w:lang w:eastAsia="zh-CN"/>
        </w:rPr>
        <w:t>；</w:t>
      </w:r>
    </w:p>
    <w:p>
      <w:pPr>
        <w:numPr>
          <w:ilvl w:val="0"/>
          <w:numId w:val="0"/>
        </w:numPr>
      </w:pPr>
      <w:r>
        <w:rPr>
          <w:rFonts w:hint="eastAsia" w:cs="Times New Roman"/>
          <w:i w:val="0"/>
          <w:kern w:val="2"/>
          <w:sz w:val="28"/>
          <w:szCs w:val="28"/>
          <w:lang w:val="en-US" w:eastAsia="zh-CN" w:bidi="ar-SA"/>
        </w:rPr>
        <w:t>（5）</w:t>
      </w:r>
      <w:r>
        <w:rPr>
          <w:rFonts w:hint="eastAsia" w:ascii="Times New Roman" w:hAnsi="Times New Roman" w:eastAsia="仿宋_GB2312" w:cs="Times New Roman"/>
          <w:i w:val="0"/>
          <w:kern w:val="2"/>
          <w:sz w:val="28"/>
          <w:szCs w:val="28"/>
          <w:lang w:val="en-US" w:eastAsia="zh-CN" w:bidi="ar-SA"/>
        </w:rPr>
        <w:t>打非案件司法鉴定，主要作用于做好打非案件鉴定工作；单位计划今年到2022年通过招投标方式聘请专业的司法鉴定机构对打非案件进行鉴定，防范化解区域内金融风险。</w:t>
      </w:r>
    </w:p>
    <w:p>
      <w:pPr>
        <w:pStyle w:val="5"/>
        <w:spacing w:line="360" w:lineRule="auto"/>
        <w:rPr>
          <w:sz w:val="30"/>
          <w:szCs w:val="30"/>
        </w:rPr>
      </w:pPr>
      <w:r>
        <w:rPr>
          <w:rFonts w:hint="eastAsia"/>
          <w:sz w:val="30"/>
          <w:szCs w:val="30"/>
        </w:rPr>
        <w:t>（三）</w:t>
      </w:r>
      <w:r>
        <w:rPr>
          <w:sz w:val="30"/>
          <w:szCs w:val="30"/>
        </w:rPr>
        <w:t>资金使用管理情况</w:t>
      </w:r>
    </w:p>
    <w:p>
      <w:pPr>
        <w:spacing w:line="360" w:lineRule="auto"/>
        <w:ind w:firstLine="560" w:firstLineChars="200"/>
        <w:rPr>
          <w:szCs w:val="28"/>
        </w:rPr>
      </w:pPr>
      <w:r>
        <w:rPr>
          <w:rFonts w:hint="eastAsia"/>
          <w:szCs w:val="28"/>
        </w:rPr>
        <w:t>我中心的项目资金由开福区政府根据《开福区金融办打非专项经费（公共部分）管理办法》、《（部门）打击和处置非法集资工作经费管理办法》、《金融产业培育经费管理办法》、《金融监管工作经费管理办法》、《打非案件司法鉴定经费管理办法》等相关规定每年从预算资金中拨付给我中心，由我中心按照资金使用的有关规定进行统筹支配。今年，区政府向我中心共拨付专项资金114.35万元，我中心按照既定的资金使用规定执行，由</w:t>
      </w:r>
      <w:r>
        <w:rPr>
          <w:rFonts w:hint="eastAsia"/>
          <w:color w:val="auto"/>
          <w:szCs w:val="28"/>
          <w:u w:val="none"/>
        </w:rPr>
        <w:t xml:space="preserve"> 文琼 </w:t>
      </w:r>
      <w:r>
        <w:rPr>
          <w:rFonts w:hint="eastAsia"/>
          <w:szCs w:val="28"/>
        </w:rPr>
        <w:t>同志主要负责项目资金的统筹支配，按《关于进一步健全打击和处置非法集资工作领导机构和工作机制的通知》、</w:t>
      </w:r>
      <w:r>
        <w:rPr>
          <w:szCs w:val="28"/>
        </w:rPr>
        <w:t>三定文件及相关工作开展需求</w:t>
      </w:r>
      <w:r>
        <w:rPr>
          <w:rFonts w:hint="eastAsia"/>
          <w:szCs w:val="28"/>
        </w:rPr>
        <w:t>等既定标准，将资金拨付给街道、社区等相应部门，用于区域内防非处非工作、区内金融产业培育、防范化解区域内金融风险等相关工作；由</w:t>
      </w:r>
      <w:r>
        <w:rPr>
          <w:rFonts w:hint="eastAsia"/>
          <w:color w:val="auto"/>
          <w:szCs w:val="28"/>
          <w:u w:val="none"/>
        </w:rPr>
        <w:t>文琼</w:t>
      </w:r>
      <w:r>
        <w:rPr>
          <w:rFonts w:hint="eastAsia"/>
          <w:szCs w:val="28"/>
        </w:rPr>
        <w:t>同志主要负责对各项目的实施情况进行跟踪。</w:t>
      </w:r>
    </w:p>
    <w:p>
      <w:pPr>
        <w:pStyle w:val="4"/>
        <w:rPr>
          <w:sz w:val="32"/>
          <w:szCs w:val="32"/>
        </w:rPr>
      </w:pPr>
      <w:r>
        <w:rPr>
          <w:rFonts w:hint="eastAsia"/>
          <w:sz w:val="32"/>
          <w:szCs w:val="32"/>
        </w:rPr>
        <w:t>二、</w:t>
      </w:r>
      <w:r>
        <w:rPr>
          <w:sz w:val="32"/>
          <w:szCs w:val="32"/>
        </w:rPr>
        <w:t>绩效评价工作情况</w:t>
      </w:r>
    </w:p>
    <w:p>
      <w:pPr>
        <w:spacing w:line="360" w:lineRule="auto"/>
        <w:ind w:firstLine="560" w:firstLineChars="200"/>
        <w:rPr>
          <w:szCs w:val="28"/>
        </w:rPr>
      </w:pPr>
      <w:r>
        <w:rPr>
          <w:rFonts w:hint="eastAsia"/>
          <w:szCs w:val="28"/>
        </w:rPr>
        <w:t>我中心根据绩效自评相关文件精神，由办公室牵头制定本中心的绩效自评标准及评价指标体系建设，各科室根据自身情况提交各科室自评报告及评分，办公室根据各科室的自评报告及评分完善并向区财政局报告本中心的绩效自评报告。</w:t>
      </w:r>
    </w:p>
    <w:p>
      <w:pPr>
        <w:pStyle w:val="4"/>
        <w:numPr>
          <w:ilvl w:val="0"/>
          <w:numId w:val="3"/>
        </w:numPr>
        <w:rPr>
          <w:sz w:val="32"/>
          <w:szCs w:val="32"/>
        </w:rPr>
      </w:pPr>
      <w:r>
        <w:rPr>
          <w:rFonts w:hint="eastAsia"/>
          <w:sz w:val="32"/>
          <w:szCs w:val="32"/>
        </w:rPr>
        <w:t>项目支出</w:t>
      </w:r>
      <w:r>
        <w:rPr>
          <w:sz w:val="32"/>
          <w:szCs w:val="32"/>
        </w:rPr>
        <w:t>主要绩效</w:t>
      </w:r>
    </w:p>
    <w:p>
      <w:pPr>
        <w:spacing w:line="360" w:lineRule="auto"/>
        <w:ind w:firstLine="602" w:firstLineChars="200"/>
        <w:rPr>
          <w:rFonts w:hint="eastAsia" w:ascii="Times New Roman" w:hAnsi="Times New Roman" w:cs="Times New Roman"/>
          <w:szCs w:val="28"/>
        </w:rPr>
      </w:pPr>
      <w:r>
        <w:rPr>
          <w:rStyle w:val="12"/>
          <w:rFonts w:hint="eastAsia"/>
          <w:sz w:val="30"/>
          <w:szCs w:val="30"/>
        </w:rPr>
        <w:t>1、（公共）打击和处置非法集资</w:t>
      </w:r>
      <w:r>
        <w:rPr>
          <w:rStyle w:val="12"/>
          <w:rFonts w:hint="eastAsia"/>
          <w:sz w:val="30"/>
          <w:szCs w:val="30"/>
          <w:lang w:eastAsia="zh-CN"/>
        </w:rPr>
        <w:t>：</w:t>
      </w:r>
      <w:r>
        <w:rPr>
          <w:rFonts w:hint="eastAsia" w:ascii="仿宋" w:hAnsi="仿宋" w:eastAsia="仿宋" w:cs="仿宋"/>
          <w:szCs w:val="28"/>
          <w:lang w:eastAsia="zh-CN"/>
        </w:rPr>
        <w:t>年度内共</w:t>
      </w:r>
      <w:r>
        <w:rPr>
          <w:rFonts w:hint="eastAsia"/>
          <w:szCs w:val="28"/>
        </w:rPr>
        <w:t>组织40余家成员单位召开了2021年防范化解涉众型非法经营活动稳定风险联席会议(第一次会议)，制定了《关于建立长沙市开福区防范化解涉众型非法经营活动稳定风险联席会议制度的通知》、《开福区涉众型非法经营活动稳定风险排查整治行动方案》等文件，就如何更好开展全年工作、专项治理行动等进行了部署；制定了“两节”宣传、第9个集中宣传月等专项宣传活</w:t>
      </w:r>
      <w:r>
        <w:rPr>
          <w:rFonts w:hint="eastAsia" w:ascii="Times New Roman" w:hAnsi="Times New Roman" w:cs="Times New Roman"/>
          <w:szCs w:val="28"/>
        </w:rPr>
        <w:t>动方案。2021年度，开展大型集中宣传活动60余次，参与群众6300余人；“七进”集中宣讲活动792次，参与群众3.47万人次；聚焦万达广场“一非三贷” 巡视整改突出问题 “回头看”工作,持续开展整治，并制定了《关于在全区推广“万达新模式”进一步健全防范和处置非法集资工作长效机制的通知》文件，建立了高效运行的工作长效机制，有效推广了优秀工作经验；</w:t>
      </w:r>
    </w:p>
    <w:p>
      <w:pPr>
        <w:spacing w:line="360" w:lineRule="auto"/>
        <w:ind w:firstLine="602" w:firstLineChars="200"/>
        <w:rPr>
          <w:color w:val="0000FF"/>
          <w:szCs w:val="28"/>
        </w:rPr>
      </w:pPr>
      <w:r>
        <w:rPr>
          <w:rStyle w:val="12"/>
          <w:rFonts w:hint="eastAsia"/>
          <w:sz w:val="30"/>
          <w:szCs w:val="30"/>
          <w:lang w:val="en-US" w:eastAsia="zh-CN"/>
        </w:rPr>
        <w:t>2、（部门）打击和处置非法集资：</w:t>
      </w:r>
      <w:r>
        <w:rPr>
          <w:rFonts w:hint="eastAsia" w:ascii="Times New Roman" w:hAnsi="Times New Roman" w:cs="Times New Roman"/>
          <w:szCs w:val="28"/>
          <w:lang w:val="en-US" w:eastAsia="zh-CN"/>
        </w:rPr>
        <w:t>本年度共</w:t>
      </w:r>
      <w:r>
        <w:rPr>
          <w:rFonts w:hint="eastAsia" w:ascii="Times New Roman" w:hAnsi="Times New Roman" w:cs="Times New Roman"/>
          <w:szCs w:val="28"/>
        </w:rPr>
        <w:t>发放宣传手册及制品6.76万份，公益广告宣传6050余次，发送警示短信4.53万余条；紧盯考核指标。提前化解非法集资风险隐患10起（其中资金清退类7起、暂未吸资类3起），清退资金近450余万,力争全面完成“打早打小”考核工作任务，目前我区暂无新增非吸案件；借助各种新兴媒介载体，如：微博、微信、网站、抖音、快手等进行网络宣传，共计发布原创作品32篇，媒体宣传报道52次，自媒体宣传700余次，累计获得点击量、阅读量、转发量7.31万余次，有效互动宣传覆盖人数5.92万余人；发放宣传手册及制品6.76万份，</w:t>
      </w:r>
      <w:r>
        <w:rPr>
          <w:rFonts w:hint="eastAsia"/>
          <w:szCs w:val="28"/>
        </w:rPr>
        <w:t>公益广告宣传6050余次，发送警示短信4.53万余条；呼吁市民关注“长沙打非专线”、“湖南金融”等微信公众号，普及相关防非处非政策，强化《防非和处置非法集资条例》的宣传引导；</w:t>
      </w:r>
    </w:p>
    <w:p>
      <w:pPr>
        <w:spacing w:line="360" w:lineRule="auto"/>
        <w:ind w:firstLine="602" w:firstLineChars="200"/>
        <w:rPr>
          <w:rFonts w:hint="eastAsia"/>
          <w:szCs w:val="28"/>
        </w:rPr>
      </w:pPr>
      <w:r>
        <w:rPr>
          <w:rStyle w:val="12"/>
          <w:rFonts w:hint="eastAsia"/>
          <w:sz w:val="30"/>
          <w:szCs w:val="30"/>
          <w:lang w:val="en-US" w:eastAsia="zh-CN"/>
        </w:rPr>
        <w:t>3</w:t>
      </w:r>
      <w:r>
        <w:rPr>
          <w:rStyle w:val="12"/>
          <w:rFonts w:hint="eastAsia"/>
          <w:sz w:val="30"/>
          <w:szCs w:val="30"/>
        </w:rPr>
        <w:t>、</w:t>
      </w:r>
      <w:r>
        <w:rPr>
          <w:rStyle w:val="12"/>
          <w:rFonts w:hint="eastAsia"/>
          <w:sz w:val="30"/>
          <w:szCs w:val="30"/>
          <w:lang w:val="en-US" w:eastAsia="zh-CN"/>
        </w:rPr>
        <w:t>金融产业培育：</w:t>
      </w:r>
      <w:r>
        <w:rPr>
          <w:rFonts w:hint="eastAsia"/>
          <w:szCs w:val="28"/>
          <w:lang w:val="en-US" w:eastAsia="zh-CN"/>
        </w:rPr>
        <w:t>本年度</w:t>
      </w:r>
      <w:r>
        <w:rPr>
          <w:rFonts w:hint="eastAsia"/>
          <w:szCs w:val="28"/>
        </w:rPr>
        <w:t>由街道专班组织本辖区风险排查，实施“一地一方案”的精准排查，针对全区各领域非法经营活动风险隐患开展排查整治行动。</w:t>
      </w:r>
      <w:r>
        <w:rPr>
          <w:rFonts w:hint="eastAsia"/>
          <w:szCs w:val="28"/>
          <w:lang w:eastAsia="zh-CN"/>
        </w:rPr>
        <w:t>全年</w:t>
      </w:r>
      <w:r>
        <w:rPr>
          <w:rFonts w:hint="eastAsia"/>
          <w:szCs w:val="28"/>
        </w:rPr>
        <w:t>，我区共计上门摸排企业2906家，其中，重点摸排各类投融资类188家、养老企业37家、文化旅游企业79家、农林业企业41、教育培训企业237家、咨询服务企业326家、影视传媒企业140家、电子商务企业514家、房地产企业124家、医疗美容健康企业262家，其他行业企业958家，对风险控制不足、缺乏持续经营能力的企业，采取责令整改，共计下达责令整改通知14次；</w:t>
      </w:r>
      <w:r>
        <w:rPr>
          <w:rFonts w:hint="eastAsia"/>
          <w:szCs w:val="28"/>
          <w:lang w:eastAsia="zh-CN"/>
        </w:rPr>
        <w:t>全年</w:t>
      </w:r>
      <w:r>
        <w:rPr>
          <w:rFonts w:hint="eastAsia" w:ascii="Times New Roman" w:hAnsi="Times New Roman" w:eastAsia="仿宋_GB2312" w:cs="Times New Roman"/>
          <w:sz w:val="32"/>
          <w:szCs w:val="32"/>
          <w:lang w:val="en-US" w:eastAsia="zh-CN" w:bidi="ar-SA"/>
        </w:rPr>
        <w:t>共组织14场银企对接会，引导50余家金融机构为300余家企业提供金融服务，宣</w:t>
      </w:r>
      <w:r>
        <w:rPr>
          <w:rFonts w:hint="eastAsia" w:eastAsia="仿宋_GB2312"/>
          <w:sz w:val="32"/>
          <w:szCs w:val="32"/>
        </w:rPr>
        <w:t>讲金融惠企政策；联合14家金融机构开展“百优行长进百企”融资对接活动，了解企业需求，缓解融资困境；对16家有融资需求的企业开展“惠企暖风行动”、“党建引领、助力千企行动”；对接招商银行、农业银行、台湾合作金库银行等在化解房地产</w:t>
      </w:r>
      <w:r>
        <w:rPr>
          <w:rFonts w:hint="eastAsia" w:ascii="Times New Roman" w:hAnsi="Times New Roman" w:eastAsia="仿宋_GB2312"/>
          <w:sz w:val="32"/>
          <w:szCs w:val="32"/>
        </w:rPr>
        <w:t>风险、涉农贷款、政府性债券等方面给予支持</w:t>
      </w:r>
      <w:r>
        <w:rPr>
          <w:rFonts w:ascii="Times New Roman" w:hAnsi="Times New Roman" w:eastAsia="仿宋_GB2312"/>
          <w:sz w:val="32"/>
          <w:szCs w:val="32"/>
        </w:rPr>
        <w:t>。</w:t>
      </w:r>
    </w:p>
    <w:p>
      <w:pPr>
        <w:spacing w:line="360" w:lineRule="auto"/>
        <w:ind w:firstLine="602" w:firstLineChars="200"/>
        <w:rPr>
          <w:rFonts w:hint="eastAsia"/>
          <w:szCs w:val="28"/>
        </w:rPr>
      </w:pPr>
      <w:r>
        <w:rPr>
          <w:rStyle w:val="12"/>
          <w:rFonts w:hint="eastAsia"/>
          <w:sz w:val="30"/>
          <w:szCs w:val="30"/>
          <w:lang w:val="en-US" w:eastAsia="zh-CN"/>
        </w:rPr>
        <w:t>4</w:t>
      </w:r>
      <w:r>
        <w:rPr>
          <w:rStyle w:val="12"/>
          <w:rFonts w:hint="eastAsia"/>
          <w:sz w:val="30"/>
          <w:szCs w:val="30"/>
        </w:rPr>
        <w:t>、</w:t>
      </w:r>
      <w:r>
        <w:rPr>
          <w:rStyle w:val="12"/>
          <w:rFonts w:hint="eastAsia"/>
          <w:sz w:val="30"/>
          <w:szCs w:val="30"/>
          <w:lang w:val="en-US" w:eastAsia="zh-CN"/>
        </w:rPr>
        <w:t>金融监管工作：</w:t>
      </w:r>
      <w:r>
        <w:rPr>
          <w:rFonts w:hint="eastAsia"/>
          <w:szCs w:val="28"/>
        </w:rPr>
        <w:t>全区以辖区街道为单位建立起16个防非处非工作专班，并组建了以区级专班为统领，街道专班齐抓共管，信息互通的常态化预警模式；会同辖区内的长沙银行、华融湘江银行、交通银行等十余家银行机构联合开展了宣传活动，引导市民理性投资，树立正确理财观念，警惕非法集资陷阱。</w:t>
      </w:r>
    </w:p>
    <w:p>
      <w:pPr>
        <w:spacing w:line="360" w:lineRule="auto"/>
        <w:ind w:firstLine="602" w:firstLineChars="200"/>
        <w:rPr>
          <w:rFonts w:hint="default" w:eastAsia="仿宋_GB2312"/>
          <w:lang w:val="en-US" w:eastAsia="zh-CN"/>
        </w:rPr>
      </w:pPr>
      <w:r>
        <w:rPr>
          <w:rStyle w:val="12"/>
          <w:rFonts w:hint="eastAsia"/>
          <w:sz w:val="30"/>
          <w:szCs w:val="30"/>
          <w:lang w:val="en-US" w:eastAsia="zh-CN"/>
        </w:rPr>
        <w:t>5、打非案件司法鉴定：</w:t>
      </w:r>
      <w:r>
        <w:rPr>
          <w:rFonts w:hint="eastAsia" w:ascii="Times New Roman" w:hAnsi="Times New Roman" w:cs="Times New Roman"/>
          <w:i w:val="0"/>
          <w:kern w:val="2"/>
          <w:sz w:val="28"/>
          <w:szCs w:val="28"/>
          <w:lang w:val="en-US" w:eastAsia="zh-CN" w:bidi="ar-SA"/>
        </w:rPr>
        <w:t>本项目是计划2021年及2022年度内完成的指标，2021年还只完成招标</w:t>
      </w:r>
      <w:r>
        <w:rPr>
          <w:rFonts w:hint="eastAsia" w:cs="Times New Roman"/>
          <w:i w:val="0"/>
          <w:kern w:val="2"/>
          <w:sz w:val="28"/>
          <w:szCs w:val="28"/>
          <w:lang w:val="en-US" w:eastAsia="zh-CN" w:bidi="ar-SA"/>
        </w:rPr>
        <w:t>部分</w:t>
      </w:r>
      <w:r>
        <w:rPr>
          <w:rFonts w:hint="eastAsia" w:ascii="Times New Roman" w:hAnsi="Times New Roman" w:cs="Times New Roman"/>
          <w:i w:val="0"/>
          <w:kern w:val="2"/>
          <w:sz w:val="28"/>
          <w:szCs w:val="28"/>
          <w:lang w:val="en-US" w:eastAsia="zh-CN" w:bidi="ar-SA"/>
        </w:rPr>
        <w:t>，具体鉴定工作在2022年完成 ；</w:t>
      </w:r>
    </w:p>
    <w:p>
      <w:pPr>
        <w:pStyle w:val="4"/>
        <w:rPr>
          <w:sz w:val="32"/>
          <w:szCs w:val="32"/>
        </w:rPr>
      </w:pPr>
      <w:r>
        <w:rPr>
          <w:rFonts w:hint="eastAsia"/>
          <w:sz w:val="32"/>
          <w:szCs w:val="32"/>
        </w:rPr>
        <w:t xml:space="preserve"> </w:t>
      </w:r>
      <w:r>
        <w:rPr>
          <w:rFonts w:hint="eastAsia"/>
          <w:sz w:val="32"/>
          <w:szCs w:val="32"/>
        </w:rPr>
        <w:tab/>
      </w:r>
      <w:r>
        <w:rPr>
          <w:sz w:val="32"/>
          <w:szCs w:val="32"/>
        </w:rPr>
        <w:t>四、存在的问题</w:t>
      </w:r>
    </w:p>
    <w:p>
      <w:pPr>
        <w:pStyle w:val="2"/>
        <w:spacing w:line="360" w:lineRule="auto"/>
        <w:ind w:firstLine="602" w:firstLineChars="200"/>
        <w:rPr>
          <w:sz w:val="28"/>
          <w:szCs w:val="28"/>
        </w:rPr>
      </w:pPr>
      <w:r>
        <w:rPr>
          <w:rStyle w:val="12"/>
          <w:rFonts w:hint="eastAsia"/>
          <w:sz w:val="30"/>
          <w:szCs w:val="30"/>
        </w:rPr>
        <w:t>1、一是“打早打小”受制约。</w:t>
      </w:r>
      <w:r>
        <w:rPr>
          <w:rFonts w:hint="eastAsia"/>
          <w:sz w:val="28"/>
          <w:szCs w:val="28"/>
        </w:rPr>
        <w:t>随着金融改革步伐加快，产品不断创新，衍生出的新型金融行为、融资模式，街道、社区等基层工作人员无法及时甄别。若没有当事人投诉、举报，在当前优化营商环境大背景下，基层工作人员无法深入到企业检查了解其运营模式、资金来源等关键信息。在排查的过程中有大部分企业采取规避的手段，不愿提供企业内部的信息情况，避重就轻的行为较为明显，甚至有在表明来意的情况下拒不让进门的情形；</w:t>
      </w:r>
    </w:p>
    <w:p>
      <w:pPr>
        <w:pStyle w:val="2"/>
        <w:spacing w:line="360" w:lineRule="auto"/>
        <w:ind w:firstLine="602" w:firstLineChars="200"/>
        <w:rPr>
          <w:iCs/>
          <w:sz w:val="28"/>
          <w:szCs w:val="28"/>
        </w:rPr>
      </w:pPr>
      <w:r>
        <w:rPr>
          <w:rStyle w:val="12"/>
          <w:rFonts w:hint="eastAsia"/>
          <w:sz w:val="30"/>
          <w:szCs w:val="30"/>
        </w:rPr>
        <w:t>2、案件侦办移诉时间跨度长。</w:t>
      </w:r>
      <w:r>
        <w:rPr>
          <w:rFonts w:hint="eastAsia"/>
          <w:iCs/>
          <w:sz w:val="28"/>
          <w:szCs w:val="28"/>
        </w:rPr>
        <w:t>非吸案件涉及行业领域广，涉案人群数量众多，作案手段多样，隐蔽性较强，给破案侦办带来了难度。再加上案件查处从受案、立案、侦办、抓捕、移送、审批、处置等司法程序繁多，办结周期短则半年，长则一两年；</w:t>
      </w:r>
    </w:p>
    <w:p>
      <w:pPr>
        <w:spacing w:line="360" w:lineRule="auto"/>
        <w:ind w:firstLine="602" w:firstLineChars="200"/>
        <w:rPr>
          <w:szCs w:val="28"/>
        </w:rPr>
      </w:pPr>
      <w:r>
        <w:rPr>
          <w:rStyle w:val="12"/>
          <w:rFonts w:hint="eastAsia"/>
          <w:sz w:val="30"/>
          <w:szCs w:val="30"/>
        </w:rPr>
        <w:t>3、行业监管有短板。</w:t>
      </w:r>
      <w:r>
        <w:rPr>
          <w:rFonts w:hint="eastAsia"/>
          <w:szCs w:val="28"/>
        </w:rPr>
        <w:t>区金融事务中心属于事业单位，没有行政手段职能，监管力量薄弱，具有专业知识储备和金融监管经验的人才缺乏。同时，根据工作职能职责，中心仅对有省局颁发行业许可证的小贷、典当及融担公司进行例行检查和监管工作，其他类金融企业仅排查是否存在非法集资风险隐患，若没有群众投诉举报，无法进一步核实其背后非法集资隐患。</w:t>
      </w:r>
    </w:p>
    <w:p>
      <w:pPr>
        <w:pStyle w:val="4"/>
        <w:rPr>
          <w:sz w:val="32"/>
          <w:szCs w:val="32"/>
        </w:rPr>
      </w:pPr>
      <w:r>
        <w:rPr>
          <w:rFonts w:hint="eastAsia"/>
          <w:sz w:val="32"/>
          <w:szCs w:val="32"/>
        </w:rPr>
        <w:t>五、有关建议</w:t>
      </w:r>
    </w:p>
    <w:p>
      <w:pPr>
        <w:spacing w:line="360" w:lineRule="auto"/>
        <w:ind w:firstLine="602" w:firstLineChars="200"/>
        <w:rPr>
          <w:szCs w:val="28"/>
        </w:rPr>
      </w:pPr>
      <w:r>
        <w:rPr>
          <w:rStyle w:val="12"/>
          <w:rFonts w:hint="eastAsia"/>
          <w:sz w:val="30"/>
          <w:szCs w:val="30"/>
        </w:rPr>
        <w:t>1、强化宣传教育</w:t>
      </w:r>
      <w:r>
        <w:rPr>
          <w:rFonts w:hint="eastAsia"/>
          <w:sz w:val="30"/>
          <w:szCs w:val="30"/>
        </w:rPr>
        <w:t>。</w:t>
      </w:r>
      <w:r>
        <w:rPr>
          <w:rFonts w:hint="eastAsia"/>
          <w:szCs w:val="28"/>
        </w:rPr>
        <w:t>一方面，动员辖区各金融机构做好全区面上防范金融风险宣传教育，组织各成员单位打非线上工作人员适时开展业务培训，提高识别风险的业务能力。另一方面，街道将防非宣教工作抓在日常、融入平常，持续开展“四重七进”宣传，充分利用辖区企事业单位、楼宇、商场等公共宣传媒介，循环刊播风险提示，提高居民防范意识。</w:t>
      </w:r>
    </w:p>
    <w:p>
      <w:pPr>
        <w:spacing w:line="360" w:lineRule="auto"/>
        <w:ind w:firstLine="602" w:firstLineChars="200"/>
        <w:rPr>
          <w:szCs w:val="28"/>
        </w:rPr>
      </w:pPr>
      <w:r>
        <w:rPr>
          <w:rStyle w:val="12"/>
          <w:rFonts w:hint="eastAsia"/>
          <w:sz w:val="30"/>
          <w:szCs w:val="30"/>
        </w:rPr>
        <w:t>2、强化排查整治。</w:t>
      </w:r>
      <w:r>
        <w:rPr>
          <w:rFonts w:hint="eastAsia"/>
          <w:szCs w:val="28"/>
        </w:rPr>
        <w:t>一方面抓好群防群治。各楼宇警示牌张贴涉非线索奖励办法、公布辖区举报电话，发动群众检举揭发非法金融活动。督促物业管理方全力配合街道开展相关工作，要求物业管理方与入驻企业签订责任书，企业书面承诺不违规违法开展经营活动。另一方面做好摸底排查。各街道要成立专门工作排查组，在原有的地毯式摸排基础上做到每月一巡查，准确摸清风险隐患点。</w:t>
      </w:r>
    </w:p>
    <w:p>
      <w:pPr>
        <w:spacing w:line="360" w:lineRule="auto"/>
        <w:ind w:firstLine="602" w:firstLineChars="200"/>
        <w:rPr>
          <w:rFonts w:eastAsia="黑体"/>
          <w:sz w:val="28"/>
          <w:szCs w:val="28"/>
        </w:rPr>
      </w:pPr>
      <w:r>
        <w:rPr>
          <w:rStyle w:val="12"/>
          <w:rFonts w:hint="eastAsia"/>
          <w:sz w:val="30"/>
          <w:szCs w:val="30"/>
        </w:rPr>
        <w:t>3、强化案件查办。</w:t>
      </w:r>
      <w:r>
        <w:rPr>
          <w:rFonts w:hint="eastAsia"/>
          <w:szCs w:val="28"/>
        </w:rPr>
        <w:t>公安部门继续加大非法集资等涉众型经济案件侦办打击力度，遏制案件高发态势，消化存量风险。</w:t>
      </w:r>
    </w:p>
    <w:p>
      <w:pPr>
        <w:pStyle w:val="4"/>
        <w:rPr>
          <w:sz w:val="32"/>
          <w:szCs w:val="32"/>
        </w:rPr>
      </w:pPr>
      <w:r>
        <w:rPr>
          <w:sz w:val="32"/>
          <w:szCs w:val="32"/>
        </w:rPr>
        <w:t>六、其他需要说明的问题</w:t>
      </w:r>
    </w:p>
    <w:p>
      <w:pPr>
        <w:spacing w:line="360" w:lineRule="auto"/>
        <w:ind w:firstLine="560" w:firstLineChars="200"/>
        <w:rPr>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2"/>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8</w:t>
                </w:r>
                <w:r>
                  <w:rPr>
                    <w:sz w:val="28"/>
                    <w:szCs w:val="28"/>
                  </w:rPr>
                  <w:fldChar w:fldCharType="end"/>
                </w:r>
                <w:r>
                  <w:rPr>
                    <w:sz w:val="28"/>
                    <w:szCs w:val="28"/>
                  </w:rPr>
                  <w:t xml:space="preserve"> —</w:t>
                </w:r>
              </w:p>
            </w:txbxContent>
          </v:textbox>
        </v:shape>
      </w:pic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DC145E"/>
    <w:multiLevelType w:val="singleLevel"/>
    <w:tmpl w:val="DFDC145E"/>
    <w:lvl w:ilvl="0" w:tentative="0">
      <w:start w:val="2"/>
      <w:numFmt w:val="chineseCounting"/>
      <w:suff w:val="nothing"/>
      <w:lvlText w:val="（%1）"/>
      <w:lvlJc w:val="left"/>
      <w:rPr>
        <w:rFonts w:hint="eastAsia"/>
      </w:rPr>
    </w:lvl>
  </w:abstractNum>
  <w:abstractNum w:abstractNumId="1">
    <w:nsid w:val="1A51D97B"/>
    <w:multiLevelType w:val="singleLevel"/>
    <w:tmpl w:val="1A51D97B"/>
    <w:lvl w:ilvl="0" w:tentative="0">
      <w:start w:val="3"/>
      <w:numFmt w:val="chineseCounting"/>
      <w:suff w:val="nothing"/>
      <w:lvlText w:val="%1、"/>
      <w:lvlJc w:val="left"/>
      <w:rPr>
        <w:rFonts w:hint="eastAsia"/>
        <w:sz w:val="32"/>
        <w:szCs w:val="32"/>
      </w:rPr>
    </w:lvl>
  </w:abstractNum>
  <w:abstractNum w:abstractNumId="2">
    <w:nsid w:val="7C3B73C6"/>
    <w:multiLevelType w:val="singleLevel"/>
    <w:tmpl w:val="7C3B73C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1C7C5B84"/>
    <w:rsid w:val="00162080"/>
    <w:rsid w:val="00355370"/>
    <w:rsid w:val="00867B16"/>
    <w:rsid w:val="00A240B7"/>
    <w:rsid w:val="00B310A8"/>
    <w:rsid w:val="00DC2F05"/>
    <w:rsid w:val="00F905C5"/>
    <w:rsid w:val="022A6766"/>
    <w:rsid w:val="05594727"/>
    <w:rsid w:val="114E4BB4"/>
    <w:rsid w:val="1C7C5B84"/>
    <w:rsid w:val="31894DB4"/>
    <w:rsid w:val="32F968B0"/>
    <w:rsid w:val="36D641EB"/>
    <w:rsid w:val="381B7B00"/>
    <w:rsid w:val="42E61B7A"/>
    <w:rsid w:val="44F25CC3"/>
    <w:rsid w:val="45244ABA"/>
    <w:rsid w:val="50A30E0F"/>
    <w:rsid w:val="50FD32E2"/>
    <w:rsid w:val="634D1946"/>
    <w:rsid w:val="69037B56"/>
    <w:rsid w:val="71D2534C"/>
    <w:rsid w:val="73893DB8"/>
    <w:rsid w:val="76903F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12"/>
    <w:unhideWhenUsed/>
    <w:qFormat/>
    <w:uiPriority w:val="0"/>
    <w:pPr>
      <w:keepNext/>
      <w:keepLines/>
      <w:spacing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Intense Quote"/>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6">
    <w:name w:val="Body Text"/>
    <w:basedOn w:val="1"/>
    <w:next w:val="7"/>
    <w:qFormat/>
    <w:uiPriority w:val="0"/>
    <w:pPr>
      <w:spacing w:after="120"/>
    </w:pPr>
    <w:rPr>
      <w:rFonts w:ascii="Times New Roman" w:hAnsi="Times New Roman" w:eastAsia="宋体" w:cs="Times New Roman"/>
    </w:rPr>
  </w:style>
  <w:style w:type="paragraph" w:styleId="7">
    <w:name w:val="Body Text First Indent"/>
    <w:basedOn w:val="6"/>
    <w:uiPriority w:val="0"/>
    <w:pPr>
      <w:ind w:firstLine="420" w:firstLineChars="100"/>
    </w:pPr>
    <w:rPr>
      <w:rFonts w:ascii="Times New Roman" w:hAnsi="Times New Roman" w:eastAsia="宋体" w:cs="Times New Roman"/>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2 Char"/>
    <w:link w:val="5"/>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PC</Company>
  <Pages>8</Pages>
  <Words>3885</Words>
  <Characters>4172</Characters>
  <Lines>3</Lines>
  <Paragraphs>7</Paragraphs>
  <TotalTime>5</TotalTime>
  <ScaleCrop>false</ScaleCrop>
  <LinksUpToDate>false</LinksUpToDate>
  <CharactersWithSpaces>4199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2022-03-29T16:16:00Z</dcterms:created>
  <dc:creator>紫色蓝梦--夏菁</dc:creator>
  <cp:lastModifiedBy>紫色蓝梦--夏菁</cp:lastModifiedBy>
  <cp:lastPrinted>2022-04-06T07:47:00Z</cp:lastPrinted>
  <dcterms:modified xsi:type="dcterms:W3CDTF">2022-04-08T01:52:48Z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46D632084D944172983607FDC7E74D51</vt:lpwstr>
  </property>
</Properties>
</file>