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hint="eastAsia" w:ascii="方正小标宋简体" w:eastAsia="方正小标宋简体"/>
          <w:sz w:val="44"/>
          <w:szCs w:val="44"/>
        </w:rPr>
      </w:pPr>
      <w:r>
        <w:rPr>
          <w:rFonts w:hint="eastAsia" w:ascii="方正小标宋简体" w:eastAsia="方正小标宋简体"/>
          <w:sz w:val="44"/>
          <w:szCs w:val="44"/>
        </w:rPr>
        <w:t>开福区金融工作办公室</w:t>
      </w:r>
    </w:p>
    <w:p>
      <w:pPr>
        <w:ind w:firstLine="880"/>
        <w:jc w:val="center"/>
        <w:rPr>
          <w:rFonts w:hint="eastAsia" w:ascii="方正小标宋简体" w:eastAsia="方正小标宋简体"/>
          <w:sz w:val="44"/>
          <w:szCs w:val="44"/>
        </w:rPr>
      </w:pPr>
      <w:r>
        <w:rPr>
          <w:rFonts w:hint="eastAsia" w:ascii="方正小标宋简体" w:eastAsia="方正小标宋简体"/>
          <w:sz w:val="44"/>
          <w:szCs w:val="44"/>
        </w:rPr>
        <w:t>2019年度部门整体支出绩效评价报告</w:t>
      </w:r>
    </w:p>
    <w:p>
      <w:pPr>
        <w:ind w:firstLine="640"/>
      </w:pPr>
    </w:p>
    <w:p>
      <w:pPr>
        <w:ind w:firstLine="800" w:firstLineChars="250"/>
        <w:rPr>
          <w:rFonts w:hint="eastAsia"/>
        </w:rPr>
      </w:pPr>
      <w:r>
        <w:rPr>
          <w:rFonts w:hint="eastAsia"/>
        </w:rPr>
        <w:t>一、</w:t>
      </w:r>
      <w:r>
        <w:rPr>
          <w:rFonts w:hint="eastAsia"/>
        </w:rPr>
        <w:tab/>
      </w:r>
      <w:r>
        <w:rPr>
          <w:rFonts w:hint="eastAsia"/>
        </w:rPr>
        <w:t>部门整体支出概况</w:t>
      </w:r>
    </w:p>
    <w:p>
      <w:pPr>
        <w:ind w:firstLine="640"/>
        <w:rPr>
          <w:rFonts w:hint="eastAsia"/>
        </w:rPr>
      </w:pPr>
      <w:r>
        <w:rPr>
          <w:rFonts w:hint="eastAsia"/>
        </w:rPr>
        <w:t>（一）部门职责</w:t>
      </w:r>
    </w:p>
    <w:p>
      <w:pPr>
        <w:ind w:firstLine="640"/>
        <w:rPr>
          <w:rFonts w:hint="eastAsia"/>
        </w:rPr>
      </w:pPr>
      <w:r>
        <w:rPr>
          <w:rFonts w:hint="eastAsia"/>
        </w:rPr>
        <w:t>金融产业培育。负责制定和实施区域金融业发展规划，制定和落实促进区域金融业发展的地方性政策和措施，以及金融产业招商推介、服务等;金融行业监管。负责区内融资性担保公司和小贷公司的初审、监管、风险防控和市场退出工作;资本市场建设。负责区内企业上市辅导、服务和搭建金政企对接平台;负责长沙金融商务区领导小组办公室日常工作和区金融业联合会的业务指导。</w:t>
      </w:r>
    </w:p>
    <w:p>
      <w:pPr>
        <w:keepNext w:val="0"/>
        <w:keepLines w:val="0"/>
        <w:widowControl/>
        <w:numPr>
          <w:ilvl w:val="0"/>
          <w:numId w:val="1"/>
        </w:numPr>
        <w:suppressLineNumbers w:val="0"/>
        <w:jc w:val="left"/>
        <w:rPr>
          <w:rFonts w:hint="eastAsia"/>
          <w:lang w:val="en-US" w:eastAsia="zh-CN"/>
        </w:rPr>
      </w:pPr>
      <w:r>
        <w:rPr>
          <w:rFonts w:hint="eastAsia"/>
          <w:lang w:val="en-US" w:eastAsia="zh-CN"/>
        </w:rPr>
        <w:t>机构设置。</w:t>
      </w:r>
    </w:p>
    <w:p>
      <w:pPr>
        <w:keepNext w:val="0"/>
        <w:keepLines w:val="0"/>
        <w:widowControl/>
        <w:numPr>
          <w:ilvl w:val="0"/>
          <w:numId w:val="0"/>
        </w:numPr>
        <w:suppressLineNumbers w:val="0"/>
        <w:ind w:firstLine="640" w:firstLineChars="200"/>
        <w:jc w:val="left"/>
        <w:rPr>
          <w:rFonts w:hint="eastAsia"/>
          <w:lang w:val="en-US" w:eastAsia="zh-CN"/>
        </w:rPr>
      </w:pPr>
      <w:r>
        <w:rPr>
          <w:rFonts w:hint="eastAsia"/>
          <w:lang w:val="en-US" w:eastAsia="zh-CN"/>
        </w:rPr>
        <w:t>机构设置本部门由1 个行政单位开福区金融事务中心及0 个二级机构组成。</w:t>
      </w:r>
    </w:p>
    <w:p>
      <w:pPr>
        <w:keepNext w:val="0"/>
        <w:keepLines w:val="0"/>
        <w:widowControl/>
        <w:numPr>
          <w:ilvl w:val="0"/>
          <w:numId w:val="1"/>
        </w:numPr>
        <w:suppressLineNumbers w:val="0"/>
        <w:ind w:firstLine="640" w:firstLineChars="200"/>
        <w:jc w:val="left"/>
        <w:rPr>
          <w:rFonts w:hint="eastAsia"/>
          <w:lang w:val="en-US" w:eastAsia="zh-Hans"/>
        </w:rPr>
      </w:pPr>
      <w:r>
        <w:rPr>
          <w:rFonts w:hint="eastAsia"/>
          <w:lang w:val="en-US" w:eastAsia="zh-Hans"/>
        </w:rPr>
        <w:t>人员编织</w:t>
      </w:r>
    </w:p>
    <w:p>
      <w:pPr>
        <w:keepNext w:val="0"/>
        <w:keepLines w:val="0"/>
        <w:widowControl/>
        <w:numPr>
          <w:ilvl w:val="0"/>
          <w:numId w:val="0"/>
        </w:numPr>
        <w:suppressLineNumbers w:val="0"/>
        <w:ind w:firstLine="640" w:firstLineChars="200"/>
        <w:jc w:val="left"/>
      </w:pPr>
      <w:r>
        <w:rPr>
          <w:rFonts w:hint="eastAsia"/>
          <w:lang w:val="en-US" w:eastAsia="zh-CN"/>
        </w:rPr>
        <w:t>本部门编制数6 人，在职人数8人，其中：在岗人数  8人；编外长期聘用人员 4人；离退休人数 0 人，其中离休人员</w:t>
      </w:r>
      <w:bookmarkStart w:id="0" w:name="_GoBack"/>
      <w:bookmarkEnd w:id="0"/>
      <w:r>
        <w:rPr>
          <w:rFonts w:hint="eastAsia"/>
          <w:lang w:val="en-US" w:eastAsia="zh-CN"/>
        </w:rPr>
        <w:t>0人，退休人员 0 人。</w:t>
      </w:r>
    </w:p>
    <w:p>
      <w:pPr>
        <w:ind w:firstLine="640"/>
        <w:rPr>
          <w:rFonts w:hint="eastAsia"/>
        </w:rPr>
      </w:pPr>
      <w:r>
        <w:rPr>
          <w:rFonts w:hint="eastAsia"/>
        </w:rPr>
        <w:t>二、</w:t>
      </w:r>
      <w:r>
        <w:rPr>
          <w:rFonts w:hint="eastAsia"/>
          <w:lang w:val="en-US" w:eastAsia="zh-Hans"/>
        </w:rPr>
        <w:t>部门整体支出</w:t>
      </w:r>
      <w:r>
        <w:rPr>
          <w:rFonts w:hint="eastAsia"/>
        </w:rPr>
        <w:t>使用及管理情况</w:t>
      </w:r>
    </w:p>
    <w:p>
      <w:pPr>
        <w:ind w:firstLine="640"/>
        <w:rPr>
          <w:rFonts w:hint="eastAsia"/>
        </w:rPr>
      </w:pPr>
      <w:r>
        <w:rPr>
          <w:rFonts w:hint="eastAsia"/>
        </w:rPr>
        <w:t xml:space="preserve">2019年，本部门支出1884.31万元，比上年增长1524.72万元，增长424.02%；其中：基本支出完成202.87万元，比上年减少23.19万元，下降10.26%，。项目支出1638.62万元，比上年增减1505.09万元，增长1127.19%；人员经费完成183.84万元，比上年减少27.04万元，下降12.82%，公用经费完成19.03万元，比上年增减3.85万元，增长25.38%， </w:t>
      </w:r>
    </w:p>
    <w:p>
      <w:pPr>
        <w:ind w:firstLine="640"/>
        <w:rPr>
          <w:rFonts w:hint="eastAsia"/>
        </w:rPr>
      </w:pPr>
      <w:r>
        <w:rPr>
          <w:rFonts w:hint="eastAsia"/>
        </w:rPr>
        <w:t>金融产业培训费25万元，支出24.98万元；金融监管工作经费25万元，支出24.99万元；打击和处置非法集资工作经费30万，支出29.94万元。</w:t>
      </w:r>
      <w:r>
        <w:rPr>
          <w:rFonts w:hint="eastAsia" w:ascii="仿宋" w:hAnsi="仿宋" w:eastAsia="仿宋"/>
          <w:color w:val="000000"/>
          <w:shd w:val="clear" w:color="auto" w:fill="FFFFFF"/>
        </w:rPr>
        <w:t>（公共）打击和处置非法集资专项工作经费90万元。</w:t>
      </w:r>
      <w:r>
        <w:rPr>
          <w:rFonts w:hint="eastAsia"/>
        </w:rPr>
        <w:t>全部实行项目支出绩效目标管理。</w:t>
      </w:r>
    </w:p>
    <w:p>
      <w:pPr>
        <w:ind w:firstLine="640"/>
        <w:rPr>
          <w:rFonts w:hint="eastAsia"/>
        </w:rPr>
      </w:pPr>
      <w:r>
        <w:rPr>
          <w:rFonts w:hint="eastAsia"/>
        </w:rPr>
        <w:t>三、</w:t>
      </w:r>
      <w:r>
        <w:rPr>
          <w:rFonts w:hint="eastAsia"/>
          <w:lang w:val="en-US" w:eastAsia="zh-Hans"/>
        </w:rPr>
        <w:t>部门整体</w:t>
      </w:r>
      <w:r>
        <w:rPr>
          <w:rFonts w:hint="eastAsia"/>
        </w:rPr>
        <w:t>项目组织实施情况</w:t>
      </w:r>
    </w:p>
    <w:p>
      <w:pPr>
        <w:ind w:firstLine="640"/>
        <w:rPr>
          <w:rFonts w:hint="eastAsia"/>
        </w:rPr>
      </w:pPr>
      <w:r>
        <w:rPr>
          <w:rFonts w:hint="eastAsia"/>
        </w:rPr>
        <w:t>2019年区金融办专项资金都严谨按照工作要求及内容合理合规进行使用，预算范围内没有超支及过多结余，本部门事务性专项均根据三定文件以及我单位财务制度进行管理和执行。公共项目按照《开福区事务中心打非专项经费（公共部分）管理办法》，办法从打非经费预算编制流程、预算管理、经费审批、经费开支等方面予以规范。</w:t>
      </w:r>
    </w:p>
    <w:p>
      <w:pPr>
        <w:ind w:firstLine="640"/>
        <w:rPr>
          <w:rFonts w:hint="eastAsia"/>
        </w:rPr>
      </w:pPr>
      <w:r>
        <w:rPr>
          <w:rFonts w:hint="eastAsia"/>
        </w:rPr>
        <w:t>四、部门</w:t>
      </w:r>
      <w:r>
        <w:rPr>
          <w:rFonts w:hint="eastAsia"/>
          <w:lang w:val="en-US" w:eastAsia="zh-Hans"/>
        </w:rPr>
        <w:t>整体支出</w:t>
      </w:r>
      <w:r>
        <w:rPr>
          <w:rFonts w:hint="eastAsia"/>
        </w:rPr>
        <w:t>绩效情况</w:t>
      </w:r>
    </w:p>
    <w:p>
      <w:pPr>
        <w:ind w:firstLine="640"/>
        <w:rPr>
          <w:rFonts w:hint="eastAsia"/>
        </w:rPr>
      </w:pPr>
      <w:r>
        <w:rPr>
          <w:rFonts w:hint="eastAsia"/>
        </w:rPr>
        <w:t>1、兴产业，金融商务区建设提质增效</w:t>
      </w:r>
    </w:p>
    <w:p>
      <w:pPr>
        <w:ind w:firstLine="640"/>
        <w:rPr>
          <w:rFonts w:hint="eastAsia"/>
        </w:rPr>
      </w:pPr>
      <w:r>
        <w:rPr>
          <w:rFonts w:hint="eastAsia"/>
        </w:rPr>
        <w:t>金融招商稳步推进。2019年引进6家金融区域总部机构 。开福区已汇集金融总部机构70余家，涵盖银行、保险等金融业态，税收规模50万元以上的金融机构83家。专项对接精准开展。梳理台账开展精准对接。对未在湘设点的保险、证券及新型金融机构以及市内56家保险机构和85家证券机构进行逐家梳理，精准对接，力促项目落地。政策解读落实到位。共落实兑现上年度金融产业扶植奖励2135.33万元，推荐申报浙商银行等五家金融机构 获得省级新设金融机构专项奖励资金1040万元。金融商务区建设稳步推进。坚持金融商务区联席会议机制，加强协调督办，为项目和企业解决各类问题20余个。</w:t>
      </w:r>
    </w:p>
    <w:p>
      <w:pPr>
        <w:ind w:firstLine="640"/>
        <w:rPr>
          <w:rFonts w:hint="eastAsia"/>
        </w:rPr>
      </w:pPr>
      <w:r>
        <w:rPr>
          <w:rFonts w:hint="eastAsia"/>
        </w:rPr>
        <w:t>2、</w:t>
      </w:r>
      <w:r>
        <w:rPr>
          <w:rFonts w:hint="eastAsia"/>
        </w:rPr>
        <w:tab/>
      </w:r>
      <w:r>
        <w:rPr>
          <w:rFonts w:hint="eastAsia"/>
        </w:rPr>
        <w:t>促融合，营商环境持续优化</w:t>
      </w:r>
    </w:p>
    <w:p>
      <w:pPr>
        <w:ind w:firstLine="640"/>
        <w:rPr>
          <w:rFonts w:hint="eastAsia"/>
        </w:rPr>
      </w:pPr>
      <w:r>
        <w:rPr>
          <w:rFonts w:hint="eastAsia"/>
        </w:rPr>
        <w:t>引导机构，服务更优。举荐区内融担、小贷公司申报省、市级专项资金约55万元，引导邮储银行为三羊担保授信5000万元。组织服务机构上门走访企业15家。兑现省市区企业上市资金70万元，推荐企业申报贷款贴息28万元。深入调研，举措更实。完成了《区级用好金融政策支持实体经济和民营经济发展的分析研究》课题并获奖。制定《开福区中小微企业信贷风险补偿资金管理办法（送审稿）》。整理出台并宣讲《开福区中小微企业贴息政策及申报指引》。活动丰富，效果更明。分管副职担任区优化营商环境服务队副队长，累计开展政策宣讲、银企对接和培训19场，组织80家机构为422家企业提供融资服务。上门为6家重点拟上市企业提供专项服务。据不完全统计，今年我区银行新增中小企业贷款近10亿元。推荐6家企业进入省拟上市企业库，10家企业进入市库、39家企业进入区库。</w:t>
      </w:r>
    </w:p>
    <w:p>
      <w:pPr>
        <w:ind w:firstLine="640"/>
        <w:rPr>
          <w:rFonts w:hint="eastAsia"/>
        </w:rPr>
      </w:pPr>
      <w:r>
        <w:rPr>
          <w:rFonts w:hint="eastAsia"/>
        </w:rPr>
        <w:t>3、严监管，金融风险大局可控</w:t>
      </w:r>
    </w:p>
    <w:p>
      <w:pPr>
        <w:ind w:firstLine="640"/>
        <w:rPr>
          <w:rFonts w:hint="eastAsia"/>
        </w:rPr>
      </w:pPr>
      <w:r>
        <w:rPr>
          <w:rFonts w:hint="eastAsia"/>
        </w:rPr>
        <w:t xml:space="preserve">宣教活动深入人心。 全年组织开展各种形式防范非法集资宣教活动151余场，累计参与人数5.2万余人，发放资料近10万份，增强了群众的防范意识。排查整治有声有色。积极开展“一非三贷”等金融风险排查整治，全区重点楼宇共排查企业1715家，P2P公司实现全部退出清零，养老领域非法集资风险排查稳步推进；万达广场挂牌整治行动核查企业511家，约谈企业法人201人次，整顿搬离132家，责令10家涉非风险企业完成了资金清退，共计清退2316万元。全年新增非吸案件4起，化解陈案4起，预计圆满完成市对区绩效考核任务地方监管毫不松懈。按照省市统一要求，及时开展对小贷公司（3家）和融担公司（4家）的监管工作，严控风险。同时根据省政府关于省机构改革实施方案要求，对新增的典当公司（7家）开展行业监管工作。 </w:t>
      </w:r>
    </w:p>
    <w:p>
      <w:pPr>
        <w:ind w:firstLine="640"/>
        <w:rPr>
          <w:rFonts w:hint="eastAsia"/>
        </w:rPr>
      </w:pPr>
      <w:r>
        <w:rPr>
          <w:rFonts w:hint="eastAsia"/>
        </w:rPr>
        <w:t>五、需要说明的问题</w:t>
      </w:r>
    </w:p>
    <w:p>
      <w:pPr>
        <w:ind w:firstLine="640"/>
        <w:rPr>
          <w:rFonts w:hint="eastAsia"/>
        </w:rPr>
      </w:pPr>
      <w:r>
        <w:rPr>
          <w:rFonts w:hint="eastAsia"/>
        </w:rPr>
        <w:t>结合本单位的工作，针对以上部门支出及项目资金的实际特点，我们将根据工作要求，按照本单位财务制度，科学编制本部门预算，合理运用专项资金，精准发力加快产业发展，多措并举做好资本市场建设，持续做好金融风险防控工作，各部门各科室协调作用，合理合规按进度按规则使用专项资金。</w:t>
      </w:r>
    </w:p>
    <w:p>
      <w:pPr>
        <w:ind w:firstLine="640"/>
      </w:pP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D2AC"/>
    <w:multiLevelType w:val="singleLevel"/>
    <w:tmpl w:val="60ABD2A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0226797"/>
    <w:rsid w:val="002A5E7C"/>
    <w:rsid w:val="002C0B14"/>
    <w:rsid w:val="003D1927"/>
    <w:rsid w:val="005A7F58"/>
    <w:rsid w:val="009F45F1"/>
    <w:rsid w:val="00B5543A"/>
    <w:rsid w:val="00BB03D1"/>
    <w:rsid w:val="067D742C"/>
    <w:rsid w:val="1E1A592B"/>
    <w:rsid w:val="22A76ED0"/>
    <w:rsid w:val="26E139E8"/>
    <w:rsid w:val="27F84239"/>
    <w:rsid w:val="74EA44DD"/>
    <w:rsid w:val="BD7C8D4C"/>
    <w:rsid w:val="FD82F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footnote text"/>
    <w:basedOn w:val="1"/>
    <w:link w:val="11"/>
    <w:qFormat/>
    <w:uiPriority w:val="0"/>
    <w:pPr>
      <w:snapToGrid w:val="0"/>
      <w:spacing w:line="240" w:lineRule="auto"/>
      <w:ind w:firstLine="0" w:firstLineChars="0"/>
    </w:pPr>
    <w:rPr>
      <w:rFonts w:ascii="Calibri" w:hAnsi="Calibri" w:eastAsia="宋体"/>
      <w:sz w:val="18"/>
    </w:rPr>
  </w:style>
  <w:style w:type="character" w:styleId="7">
    <w:name w:val="footnote reference"/>
    <w:basedOn w:val="6"/>
    <w:qFormat/>
    <w:uiPriority w:val="0"/>
    <w:rPr>
      <w:rFonts w:hint="default" w:ascii="Times New Roman" w:hAnsi="Times New Roman" w:cs="Times New Roman"/>
      <w:vertAlign w:val="superscript"/>
    </w:rPr>
  </w:style>
  <w:style w:type="character" w:customStyle="1" w:styleId="8">
    <w:name w:val="页眉 Char"/>
    <w:basedOn w:val="6"/>
    <w:link w:val="3"/>
    <w:qFormat/>
    <w:uiPriority w:val="0"/>
    <w:rPr>
      <w:rFonts w:eastAsia="仿宋_GB2312"/>
      <w:kern w:val="2"/>
      <w:sz w:val="18"/>
      <w:szCs w:val="18"/>
    </w:rPr>
  </w:style>
  <w:style w:type="character" w:customStyle="1" w:styleId="9">
    <w:name w:val="页脚 Char"/>
    <w:basedOn w:val="6"/>
    <w:link w:val="2"/>
    <w:qFormat/>
    <w:uiPriority w:val="0"/>
    <w:rPr>
      <w:rFonts w:eastAsia="仿宋_GB2312"/>
      <w:kern w:val="2"/>
      <w:sz w:val="18"/>
      <w:szCs w:val="18"/>
    </w:rPr>
  </w:style>
  <w:style w:type="paragraph" w:customStyle="1" w:styleId="10">
    <w:name w:val="List Paragraph"/>
    <w:basedOn w:val="1"/>
    <w:unhideWhenUsed/>
    <w:qFormat/>
    <w:uiPriority w:val="99"/>
    <w:pPr>
      <w:ind w:firstLine="420"/>
    </w:pPr>
  </w:style>
  <w:style w:type="character" w:customStyle="1" w:styleId="11">
    <w:name w:val="脚注文本 Char"/>
    <w:basedOn w:val="6"/>
    <w:link w:val="4"/>
    <w:qFormat/>
    <w:uiPriority w:val="0"/>
    <w:rPr>
      <w:rFonts w:ascii="Calibri" w:hAnsi="Calibri"/>
      <w:kern w:val="2"/>
      <w:sz w:val="18"/>
      <w:szCs w:val="22"/>
    </w:rPr>
  </w:style>
  <w:style w:type="paragraph" w:customStyle="1" w:styleId="12">
    <w:name w:val="正文 B"/>
    <w:basedOn w:val="1"/>
    <w:qFormat/>
    <w:uiPriority w:val="0"/>
    <w:pPr>
      <w:widowControl/>
      <w:spacing w:line="240" w:lineRule="auto"/>
      <w:ind w:firstLine="0" w:firstLineChars="0"/>
    </w:pPr>
    <w:rPr>
      <w:rFonts w:ascii="Arial Unicode MS" w:hAnsi="Arial Unicode MS" w:eastAsia="宋体" w:cs="宋体"/>
      <w:color w:val="000000"/>
      <w:sz w:val="21"/>
      <w:szCs w:val="20"/>
      <w:u w:color="000000"/>
    </w:rPr>
  </w:style>
  <w:style w:type="paragraph" w:customStyle="1" w:styleId="13">
    <w:name w:val="正文 A"/>
    <w:basedOn w:val="1"/>
    <w:qFormat/>
    <w:uiPriority w:val="0"/>
    <w:pPr>
      <w:spacing w:line="240" w:lineRule="auto"/>
      <w:ind w:firstLine="0" w:firstLineChars="0"/>
    </w:pPr>
    <w:rPr>
      <w:rFonts w:ascii="Calibri" w:hAnsi="Calibri" w:eastAsia="宋体" w:cs="宋体"/>
      <w:color w:val="000000"/>
      <w:sz w:val="21"/>
      <w:szCs w:val="21"/>
      <w:u w:color="000000"/>
    </w:rPr>
  </w:style>
  <w:style w:type="paragraph" w:customStyle="1" w:styleId="14">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291</Words>
  <Characters>1662</Characters>
  <Lines>13</Lines>
  <Paragraphs>3</Paragraphs>
  <TotalTime>1</TotalTime>
  <ScaleCrop>false</ScaleCrop>
  <LinksUpToDate>false</LinksUpToDate>
  <CharactersWithSpaces>1950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2020-09-30T09:03:00Z</dcterms:created>
  <dc:creator>Administrator</dc:creator>
  <cp:lastModifiedBy>糃小米</cp:lastModifiedBy>
  <dcterms:modified xsi:type="dcterms:W3CDTF">2021-05-25T01:47:58Z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