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579" w:lineRule="exact"/>
        <w:jc w:val="both"/>
        <w:rPr>
          <w:rFonts w:hint="eastAsia" w:ascii="仿宋" w:hAnsi="仿宋" w:eastAsia="宋体" w:cs="Times New Roman"/>
          <w:color w:val="333333"/>
          <w:sz w:val="32"/>
          <w:szCs w:val="32"/>
          <w:shd w:val="clear" w:color="auto" w:fill="FFFFFF"/>
          <w:lang w:eastAsia="zh-CN"/>
        </w:rPr>
      </w:pPr>
      <w:r>
        <w:rPr>
          <w:rFonts w:hint="eastAsia" w:ascii="宋体" w:hAnsi="宋体" w:cs="宋体"/>
          <w:b/>
          <w:bCs/>
          <w:color w:val="333333"/>
          <w:shd w:val="clear" w:color="auto" w:fill="FFFFFF"/>
        </w:rPr>
        <w:t>附件</w:t>
      </w:r>
      <w:r>
        <w:rPr>
          <w:rFonts w:hint="eastAsia" w:ascii="宋体" w:hAnsi="宋体" w:cs="宋体"/>
          <w:b/>
          <w:bCs/>
          <w:color w:val="333333"/>
          <w:shd w:val="clear" w:color="auto" w:fill="FFFFFF"/>
          <w:lang w:eastAsia="zh-CN"/>
        </w:rPr>
        <w:t>：</w:t>
      </w:r>
    </w:p>
    <w:p>
      <w:pPr>
        <w:pStyle w:val="4"/>
        <w:widowControl/>
        <w:shd w:val="clear" w:color="auto" w:fill="FFFFFF"/>
        <w:spacing w:beforeAutospacing="0" w:afterAutospacing="0" w:line="579" w:lineRule="exact"/>
        <w:jc w:val="center"/>
        <w:rPr>
          <w:rFonts w:hint="eastAsia" w:ascii="宋体" w:hAnsi="宋体" w:cs="宋体"/>
          <w:b/>
          <w:bCs/>
          <w:color w:val="333333"/>
          <w:sz w:val="44"/>
          <w:szCs w:val="44"/>
          <w:shd w:val="clear" w:color="auto" w:fill="FFFFFF"/>
        </w:rPr>
      </w:pPr>
      <w:r>
        <w:rPr>
          <w:rFonts w:hint="eastAsia" w:ascii="宋体" w:hAnsi="宋体" w:cs="宋体"/>
          <w:b/>
          <w:bCs/>
          <w:color w:val="333333"/>
          <w:sz w:val="44"/>
          <w:szCs w:val="44"/>
          <w:lang w:val="en-US" w:eastAsia="zh-CN"/>
        </w:rPr>
        <w:t>2019年</w:t>
      </w:r>
      <w:r>
        <w:rPr>
          <w:rFonts w:hint="eastAsia" w:ascii="宋体" w:hAnsi="宋体" w:cs="宋体"/>
          <w:b/>
          <w:bCs/>
          <w:color w:val="333333"/>
          <w:sz w:val="44"/>
          <w:szCs w:val="44"/>
        </w:rPr>
        <w:t>开福区人社局</w:t>
      </w:r>
      <w:r>
        <w:rPr>
          <w:rFonts w:hint="eastAsia" w:ascii="宋体" w:hAnsi="宋体" w:cs="宋体"/>
          <w:b/>
          <w:bCs/>
          <w:color w:val="333333"/>
          <w:sz w:val="44"/>
          <w:szCs w:val="44"/>
          <w:shd w:val="clear" w:color="auto" w:fill="FFFFFF"/>
        </w:rPr>
        <w:t>信息公开工作年度</w:t>
      </w:r>
    </w:p>
    <w:p>
      <w:pPr>
        <w:pStyle w:val="4"/>
        <w:widowControl/>
        <w:shd w:val="clear" w:color="auto" w:fill="FFFFFF"/>
        <w:spacing w:beforeAutospacing="0" w:afterAutospacing="0" w:line="579" w:lineRule="exact"/>
        <w:jc w:val="center"/>
        <w:rPr>
          <w:rFonts w:ascii="宋体" w:cs="Times New Roman"/>
          <w:b/>
          <w:bCs/>
          <w:color w:val="333333"/>
          <w:sz w:val="44"/>
          <w:szCs w:val="44"/>
        </w:rPr>
      </w:pPr>
      <w:r>
        <w:rPr>
          <w:rFonts w:hint="eastAsia" w:ascii="宋体" w:hAnsi="宋体" w:cs="宋体"/>
          <w:b/>
          <w:bCs/>
          <w:color w:val="333333"/>
          <w:sz w:val="44"/>
          <w:szCs w:val="44"/>
          <w:shd w:val="clear" w:color="auto" w:fill="FFFFFF"/>
        </w:rPr>
        <w:t>报告</w:t>
      </w:r>
    </w:p>
    <w:p>
      <w:pPr>
        <w:pStyle w:val="4"/>
        <w:widowControl/>
        <w:shd w:val="clear" w:color="auto" w:fill="FFFFFF"/>
        <w:spacing w:beforeAutospacing="0" w:afterAutospacing="0" w:line="579" w:lineRule="exact"/>
        <w:ind w:firstLine="482" w:firstLineChars="150"/>
        <w:jc w:val="both"/>
        <w:rPr>
          <w:rFonts w:ascii="仿宋" w:hAnsi="仿宋" w:eastAsia="仿宋" w:cs="Times New Roman"/>
          <w:color w:val="333333"/>
          <w:sz w:val="32"/>
          <w:szCs w:val="32"/>
        </w:rPr>
      </w:pPr>
      <w:r>
        <w:rPr>
          <w:rFonts w:hint="eastAsia" w:ascii="仿宋" w:hAnsi="仿宋" w:eastAsia="仿宋" w:cs="仿宋"/>
          <w:b/>
          <w:bCs/>
          <w:color w:val="333333"/>
          <w:sz w:val="32"/>
          <w:szCs w:val="32"/>
          <w:shd w:val="clear" w:color="auto" w:fill="FFFFFF"/>
        </w:rPr>
        <w:t>一、总体情况</w:t>
      </w:r>
    </w:p>
    <w:p>
      <w:pPr>
        <w:ind w:firstLine="720" w:firstLineChars="225"/>
        <w:rPr>
          <w:rFonts w:ascii="仿宋" w:hAnsi="仿宋" w:eastAsia="仿宋" w:cs="Times New Roman"/>
          <w:color w:val="333333"/>
          <w:sz w:val="32"/>
          <w:szCs w:val="32"/>
          <w:shd w:val="clear" w:color="auto" w:fill="FFFFFF"/>
        </w:rPr>
      </w:pPr>
      <w:r>
        <w:rPr>
          <w:rFonts w:ascii="仿宋" w:hAnsi="仿宋" w:eastAsia="仿宋" w:cs="仿宋"/>
          <w:color w:val="333333"/>
          <w:sz w:val="32"/>
          <w:szCs w:val="32"/>
          <w:shd w:val="clear" w:color="auto" w:fill="FFFFFF"/>
        </w:rPr>
        <w:t>2019</w:t>
      </w:r>
      <w:r>
        <w:rPr>
          <w:rFonts w:hint="eastAsia" w:ascii="仿宋" w:hAnsi="仿宋" w:eastAsia="仿宋" w:cs="仿宋"/>
          <w:color w:val="333333"/>
          <w:sz w:val="32"/>
          <w:szCs w:val="32"/>
          <w:shd w:val="clear" w:color="auto" w:fill="FFFFFF"/>
        </w:rPr>
        <w:t>年以来，区人社局政府信息公开工作在区委、区政府的正确领导下，按照《政府信息公开条例》要求，认真落实区政务公开领导小组的工作部署，紧紧围绕就业创业、社会保障、人才人事和劳动维权等中心工作，主动回应群众关切，深入推进政务公开，有力推进了人社工作顺利开展，政府信息公开工作取得了良好成效，现将年度工作情况报告如下。</w:t>
      </w:r>
    </w:p>
    <w:p>
      <w:pPr>
        <w:pStyle w:val="4"/>
        <w:shd w:val="clear" w:color="auto" w:fill="FFFFFF"/>
        <w:spacing w:beforeAutospacing="0" w:afterAutospacing="0" w:line="528" w:lineRule="atLeast"/>
        <w:ind w:firstLine="479" w:firstLineChars="149"/>
        <w:rPr>
          <w:rFonts w:ascii="仿宋" w:hAnsi="仿宋" w:eastAsia="仿宋" w:cs="Times New Roman"/>
          <w:b/>
          <w:bCs/>
          <w:color w:val="333333"/>
          <w:sz w:val="32"/>
          <w:szCs w:val="32"/>
        </w:rPr>
      </w:pPr>
      <w:r>
        <w:rPr>
          <w:rFonts w:hint="eastAsia" w:ascii="仿宋" w:hAnsi="仿宋" w:eastAsia="仿宋" w:cs="仿宋"/>
          <w:b/>
          <w:bCs/>
          <w:color w:val="333333"/>
          <w:sz w:val="32"/>
          <w:szCs w:val="32"/>
        </w:rPr>
        <w:t>一、工作开展情况</w:t>
      </w:r>
    </w:p>
    <w:p>
      <w:pPr>
        <w:pStyle w:val="4"/>
        <w:shd w:val="clear" w:color="auto" w:fill="FFFFFF"/>
        <w:spacing w:beforeAutospacing="0" w:afterAutospacing="0" w:line="528" w:lineRule="atLeast"/>
        <w:ind w:firstLine="315" w:firstLineChars="98"/>
        <w:rPr>
          <w:rFonts w:ascii="楷体_GB2312" w:hAnsi="仿宋" w:eastAsia="楷体_GB2312" w:cs="Times New Roman"/>
          <w:b/>
          <w:bCs/>
          <w:color w:val="333333"/>
          <w:sz w:val="32"/>
          <w:szCs w:val="32"/>
        </w:rPr>
      </w:pPr>
      <w:r>
        <w:rPr>
          <w:rFonts w:hint="eastAsia" w:ascii="楷体_GB2312" w:hAnsi="仿宋" w:eastAsia="楷体_GB2312" w:cs="楷体_GB2312"/>
          <w:b/>
          <w:bCs/>
          <w:color w:val="333333"/>
          <w:sz w:val="32"/>
          <w:szCs w:val="32"/>
        </w:rPr>
        <w:t>（一）组织领导到位</w:t>
      </w:r>
    </w:p>
    <w:p>
      <w:pPr>
        <w:pStyle w:val="4"/>
        <w:shd w:val="clear" w:color="auto" w:fill="FFFFFF"/>
        <w:spacing w:beforeAutospacing="0" w:afterAutospacing="0" w:line="528" w:lineRule="atLeast"/>
        <w:ind w:firstLine="480"/>
        <w:rPr>
          <w:rFonts w:ascii="仿宋" w:hAnsi="仿宋" w:eastAsia="仿宋" w:cs="Times New Roman"/>
          <w:color w:val="333333"/>
          <w:sz w:val="32"/>
          <w:szCs w:val="32"/>
        </w:rPr>
      </w:pPr>
      <w:r>
        <w:rPr>
          <w:rFonts w:hint="eastAsia" w:ascii="仿宋" w:hAnsi="仿宋" w:eastAsia="仿宋" w:cs="仿宋"/>
          <w:color w:val="333333"/>
          <w:sz w:val="32"/>
          <w:szCs w:val="32"/>
        </w:rPr>
        <w:t>始终把做好政务公开工作作为提升服务水平的切入点和重要抓手，与各项工作同部署、同推进、同落实，专门成立了由党组书记、局长任组长、分管领导为副组长、各中心主任和科室（大队）长为成员的政府信息公开领导小组，形成了主要领导亲自抓、分管领导直接抓、局属单位分工负责的工作格局，同时，由局办公室负责政务公开日常工作。</w:t>
      </w:r>
    </w:p>
    <w:p>
      <w:pPr>
        <w:pStyle w:val="4"/>
        <w:shd w:val="clear" w:color="auto" w:fill="FFFFFF"/>
        <w:spacing w:beforeAutospacing="0" w:afterAutospacing="0" w:line="528" w:lineRule="atLeast"/>
        <w:rPr>
          <w:rFonts w:ascii="楷体_GB2312" w:eastAsia="楷体_GB2312" w:cs="Times New Roman"/>
          <w:b/>
          <w:bCs/>
          <w:color w:val="333333"/>
          <w:sz w:val="32"/>
          <w:szCs w:val="32"/>
        </w:rPr>
      </w:pPr>
      <w:r>
        <w:rPr>
          <w:rFonts w:ascii="楷体_GB2312" w:eastAsia="楷体_GB2312" w:cs="楷体_GB2312"/>
          <w:b/>
          <w:bCs/>
          <w:color w:val="333333"/>
          <w:sz w:val="32"/>
          <w:szCs w:val="32"/>
        </w:rPr>
        <w:t xml:space="preserve"> </w:t>
      </w:r>
      <w:r>
        <w:rPr>
          <w:rFonts w:hint="eastAsia" w:ascii="楷体_GB2312" w:eastAsia="楷体_GB2312" w:cs="楷体_GB2312"/>
          <w:b/>
          <w:bCs/>
          <w:color w:val="333333"/>
          <w:sz w:val="32"/>
          <w:szCs w:val="32"/>
        </w:rPr>
        <w:t>（二）责任落实到位</w:t>
      </w:r>
    </w:p>
    <w:p>
      <w:pPr>
        <w:pStyle w:val="4"/>
        <w:shd w:val="clear" w:color="auto" w:fill="FFFFFF"/>
        <w:spacing w:beforeAutospacing="0" w:afterAutospacing="0" w:line="528" w:lineRule="atLeast"/>
        <w:ind w:firstLine="480"/>
        <w:rPr>
          <w:rFonts w:ascii="仿宋" w:hAnsi="仿宋" w:eastAsia="仿宋" w:cs="Times New Roman"/>
          <w:color w:val="333333"/>
          <w:sz w:val="32"/>
          <w:szCs w:val="32"/>
        </w:rPr>
      </w:pPr>
      <w:r>
        <w:rPr>
          <w:rFonts w:hint="eastAsia" w:ascii="仿宋" w:hAnsi="仿宋" w:eastAsia="仿宋" w:cs="仿宋"/>
          <w:color w:val="333333"/>
          <w:sz w:val="32"/>
          <w:szCs w:val="32"/>
        </w:rPr>
        <w:t>年初制订了《</w:t>
      </w:r>
      <w:r>
        <w:rPr>
          <w:rFonts w:ascii="仿宋" w:hAnsi="仿宋" w:eastAsia="仿宋" w:cs="仿宋"/>
          <w:color w:val="333333"/>
          <w:sz w:val="32"/>
          <w:szCs w:val="32"/>
        </w:rPr>
        <w:t>2019</w:t>
      </w:r>
      <w:r>
        <w:rPr>
          <w:rFonts w:hint="eastAsia" w:ascii="仿宋" w:hAnsi="仿宋" w:eastAsia="仿宋" w:cs="仿宋"/>
          <w:color w:val="333333"/>
          <w:sz w:val="32"/>
          <w:szCs w:val="32"/>
        </w:rPr>
        <w:t>年区人社局政务公开工作计划》，局召开专题会议，对政府信息公开进行部署安排、对目标任务进行分解，每季度对政府信息公开工作进行检查讲评，做到程序清楚，责任明确。同时，按照区政务公开政务服务要求，进一步完善了政务公开目录、流程，政务公开业务进一步规范。落实专人报送信息制度，及时发布政务公开情况和动态，使政务公开事事有人管，时时有人做，为保障政务公开工作顺利开展创造了良好条件。</w:t>
      </w:r>
    </w:p>
    <w:p>
      <w:pPr>
        <w:pStyle w:val="4"/>
        <w:shd w:val="clear" w:color="auto" w:fill="FFFFFF"/>
        <w:spacing w:beforeAutospacing="0" w:afterAutospacing="0" w:line="528" w:lineRule="atLeast"/>
        <w:ind w:firstLine="480"/>
        <w:rPr>
          <w:rFonts w:ascii="楷体_GB2312" w:eastAsia="楷体_GB2312" w:cs="Times New Roman"/>
          <w:b/>
          <w:bCs/>
          <w:color w:val="333333"/>
          <w:sz w:val="32"/>
          <w:szCs w:val="32"/>
        </w:rPr>
      </w:pPr>
      <w:r>
        <w:rPr>
          <w:rFonts w:hint="eastAsia" w:ascii="楷体_GB2312" w:eastAsia="楷体_GB2312" w:cs="楷体_GB2312"/>
          <w:b/>
          <w:bCs/>
          <w:color w:val="333333"/>
          <w:sz w:val="32"/>
          <w:szCs w:val="32"/>
        </w:rPr>
        <w:t>（三）公开形式到位</w:t>
      </w:r>
    </w:p>
    <w:p>
      <w:pPr>
        <w:pStyle w:val="4"/>
        <w:shd w:val="clear" w:color="auto" w:fill="FFFFFF"/>
        <w:spacing w:beforeAutospacing="0" w:afterAutospacing="0" w:line="528" w:lineRule="atLeast"/>
        <w:ind w:firstLine="480"/>
        <w:rPr>
          <w:rFonts w:ascii="仿宋" w:hAnsi="仿宋" w:eastAsia="仿宋" w:cs="Times New Roman"/>
          <w:color w:val="333333"/>
          <w:sz w:val="32"/>
          <w:szCs w:val="32"/>
        </w:rPr>
      </w:pPr>
      <w:r>
        <w:rPr>
          <w:rFonts w:hint="eastAsia" w:ascii="仿宋" w:hAnsi="仿宋" w:eastAsia="仿宋" w:cs="仿宋"/>
          <w:color w:val="333333"/>
          <w:sz w:val="32"/>
          <w:szCs w:val="32"/>
        </w:rPr>
        <w:t>局始终强化对政务公开工作的督导，本着“规范、明了、方便、实用”的原则，坚持线上与线上相结合的公开方式，结合形势发展不断完善网络公开方式，进一步扩展了公开途径，最大化地接受社会监督。以不公开为特例，对法律法规没有限制的坚持常态化公开；以必须公开为准则，对招聘招考、资金使用、基金管理等重要事项坚持全过程公开；以及时公开为要求，对群众关心关切的社会保险、求职登记、政策解答、投诉举报等热点事项坚持回应式公开。</w:t>
      </w:r>
    </w:p>
    <w:p>
      <w:pPr>
        <w:pStyle w:val="4"/>
        <w:widowControl/>
        <w:shd w:val="clear" w:color="auto" w:fill="FFFFFF"/>
        <w:spacing w:beforeAutospacing="0" w:afterAutospacing="0" w:line="579" w:lineRule="exact"/>
        <w:jc w:val="both"/>
        <w:rPr>
          <w:rFonts w:ascii="仿宋" w:hAnsi="仿宋" w:eastAsia="仿宋" w:cs="Times New Roman"/>
          <w:b/>
          <w:bCs/>
          <w:color w:val="333333"/>
          <w:sz w:val="32"/>
          <w:szCs w:val="32"/>
          <w:shd w:val="clear" w:color="auto" w:fill="FFFFFF"/>
        </w:rPr>
      </w:pPr>
      <w:r>
        <w:rPr>
          <w:rFonts w:ascii="仿宋" w:hAnsi="仿宋" w:eastAsia="仿宋" w:cs="仿宋"/>
          <w:color w:val="333333"/>
          <w:sz w:val="32"/>
          <w:szCs w:val="32"/>
        </w:rPr>
        <w:t xml:space="preserve"> </w:t>
      </w:r>
      <w:r>
        <w:rPr>
          <w:rFonts w:hint="eastAsia" w:ascii="仿宋" w:hAnsi="仿宋" w:eastAsia="仿宋" w:cs="仿宋"/>
          <w:b/>
          <w:bCs/>
          <w:color w:val="333333"/>
          <w:sz w:val="32"/>
          <w:szCs w:val="32"/>
          <w:shd w:val="clear" w:color="auto" w:fill="FFFFFF"/>
        </w:rPr>
        <w:t>二、主动公开政府信息情况</w:t>
      </w:r>
      <w:bookmarkStart w:id="0" w:name="_GoBack"/>
      <w:bookmarkEnd w:id="0"/>
    </w:p>
    <w:p>
      <w:pPr>
        <w:pStyle w:val="4"/>
        <w:widowControl/>
        <w:shd w:val="clear" w:color="auto" w:fill="FFFFFF"/>
        <w:spacing w:beforeAutospacing="0" w:afterAutospacing="0" w:line="579" w:lineRule="exact"/>
        <w:jc w:val="both"/>
        <w:rPr>
          <w:rFonts w:ascii="仿宋" w:hAnsi="仿宋" w:eastAsia="仿宋" w:cs="Times New Roman"/>
          <w:color w:val="333333"/>
          <w:sz w:val="32"/>
          <w:szCs w:val="32"/>
        </w:rPr>
      </w:pPr>
    </w:p>
    <w:tbl>
      <w:tblPr>
        <w:tblStyle w:val="5"/>
        <w:tblW w:w="8082" w:type="dxa"/>
        <w:jc w:val="center"/>
        <w:tblLayout w:type="fixed"/>
        <w:tblCellMar>
          <w:top w:w="0" w:type="dxa"/>
          <w:left w:w="0" w:type="dxa"/>
          <w:bottom w:w="0" w:type="dxa"/>
          <w:right w:w="0" w:type="dxa"/>
        </w:tblCellMar>
      </w:tblPr>
      <w:tblGrid>
        <w:gridCol w:w="3055"/>
        <w:gridCol w:w="1875"/>
        <w:gridCol w:w="6"/>
        <w:gridCol w:w="1265"/>
        <w:gridCol w:w="1881"/>
      </w:tblGrid>
      <w:tr>
        <w:tblPrEx>
          <w:tblCellMar>
            <w:top w:w="0" w:type="dxa"/>
            <w:left w:w="0" w:type="dxa"/>
            <w:bottom w:w="0" w:type="dxa"/>
            <w:right w:w="0" w:type="dxa"/>
          </w:tblCellMar>
        </w:tblPrEx>
        <w:trPr>
          <w:trHeight w:val="495" w:hRule="atLeast"/>
          <w:jc w:val="center"/>
        </w:trPr>
        <w:tc>
          <w:tcPr>
            <w:tcW w:w="8082" w:type="dxa"/>
            <w:gridSpan w:val="5"/>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line="579" w:lineRule="exact"/>
              <w:jc w:val="center"/>
              <w:rPr>
                <w:rFonts w:cs="Times New Roman"/>
              </w:rPr>
            </w:pPr>
            <w:r>
              <w:rPr>
                <w:rFonts w:hint="eastAsia" w:ascii="宋体" w:hAnsi="宋体" w:cs="宋体"/>
                <w:color w:val="000000"/>
                <w:kern w:val="0"/>
                <w:sz w:val="20"/>
                <w:szCs w:val="20"/>
              </w:rPr>
              <w:t>第二十条第（一）项</w:t>
            </w:r>
          </w:p>
        </w:tc>
      </w:tr>
      <w:tr>
        <w:tblPrEx>
          <w:tblCellMar>
            <w:top w:w="0" w:type="dxa"/>
            <w:left w:w="0" w:type="dxa"/>
            <w:bottom w:w="0" w:type="dxa"/>
            <w:right w:w="0" w:type="dxa"/>
          </w:tblCellMar>
        </w:tblPrEx>
        <w:trPr>
          <w:trHeight w:val="1173" w:hRule="atLeast"/>
          <w:jc w:val="center"/>
        </w:trPr>
        <w:tc>
          <w:tcPr>
            <w:tcW w:w="3055"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ascii="宋体" w:hAnsi="宋体" w:cs="宋体"/>
                <w:color w:val="000000"/>
                <w:kern w:val="0"/>
                <w:sz w:val="20"/>
                <w:szCs w:val="20"/>
              </w:rPr>
              <w:t>本年新</w:t>
            </w:r>
            <w:r>
              <w:rPr>
                <w:rFonts w:ascii="宋体" w:cs="Times New Roman"/>
                <w:color w:val="000000"/>
                <w:kern w:val="0"/>
                <w:sz w:val="20"/>
                <w:szCs w:val="20"/>
              </w:rPr>
              <w:br w:type="textWrapping"/>
            </w:r>
            <w:r>
              <w:rPr>
                <w:rFonts w:hint="eastAsia" w:cs="宋体"/>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ascii="宋体" w:hAnsi="宋体" w:cs="宋体"/>
                <w:color w:val="000000"/>
                <w:kern w:val="0"/>
                <w:sz w:val="20"/>
                <w:szCs w:val="20"/>
              </w:rPr>
              <w:t>本年新</w:t>
            </w:r>
            <w:r>
              <w:rPr>
                <w:rFonts w:ascii="宋体" w:cs="Times New Roman"/>
                <w:color w:val="000000"/>
                <w:kern w:val="0"/>
                <w:sz w:val="20"/>
                <w:szCs w:val="20"/>
              </w:rPr>
              <w:br w:type="textWrapping"/>
            </w:r>
            <w:r>
              <w:rPr>
                <w:rFonts w:hint="eastAsia" w:cs="宋体"/>
                <w:kern w:val="0"/>
                <w:sz w:val="20"/>
                <w:szCs w:val="20"/>
              </w:rPr>
              <w:t>公开数量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ascii="宋体" w:hAnsi="宋体" w:cs="宋体"/>
                <w:color w:val="000000"/>
                <w:kern w:val="0"/>
                <w:sz w:val="20"/>
                <w:szCs w:val="20"/>
              </w:rPr>
              <w:t>对外公开总数量</w:t>
            </w:r>
          </w:p>
        </w:tc>
      </w:tr>
      <w:tr>
        <w:tblPrEx>
          <w:tblCellMar>
            <w:top w:w="0" w:type="dxa"/>
            <w:left w:w="0" w:type="dxa"/>
            <w:bottom w:w="0" w:type="dxa"/>
            <w:right w:w="0" w:type="dxa"/>
          </w:tblCellMar>
        </w:tblPrEx>
        <w:trPr>
          <w:trHeight w:val="694" w:hRule="atLeast"/>
          <w:jc w:val="center"/>
        </w:trPr>
        <w:tc>
          <w:tcPr>
            <w:tcW w:w="3055" w:type="dxa"/>
            <w:tcBorders>
              <w:top w:val="nil"/>
              <w:left w:val="single" w:color="auto" w:sz="8" w:space="0"/>
              <w:bottom w:val="single" w:color="auto" w:sz="4" w:space="0"/>
              <w:right w:val="single" w:color="auto" w:sz="8" w:space="0"/>
            </w:tcBorders>
            <w:tcMar>
              <w:left w:w="108" w:type="dxa"/>
              <w:right w:w="108" w:type="dxa"/>
            </w:tcMar>
            <w:vAlign w:val="center"/>
          </w:tcPr>
          <w:p>
            <w:pPr>
              <w:widowControl/>
              <w:spacing w:after="180" w:line="579" w:lineRule="exact"/>
              <w:jc w:val="left"/>
              <w:rPr>
                <w:rFonts w:cs="Times New Roman"/>
              </w:rPr>
            </w:pPr>
            <w:r>
              <w:rPr>
                <w:rFonts w:hint="eastAsia" w:ascii="宋体" w:hAnsi="宋体" w:cs="宋体"/>
                <w:color w:val="000000"/>
                <w:kern w:val="0"/>
                <w:sz w:val="20"/>
                <w:szCs w:val="20"/>
              </w:rPr>
              <w:t>规章</w:t>
            </w:r>
          </w:p>
        </w:tc>
        <w:tc>
          <w:tcPr>
            <w:tcW w:w="1875" w:type="dxa"/>
            <w:tcBorders>
              <w:top w:val="nil"/>
              <w:left w:val="nil"/>
              <w:bottom w:val="single" w:color="auto" w:sz="4" w:space="0"/>
              <w:right w:val="single" w:color="auto" w:sz="8" w:space="0"/>
            </w:tcBorders>
            <w:tcMar>
              <w:left w:w="108" w:type="dxa"/>
              <w:right w:w="108" w:type="dxa"/>
            </w:tcMar>
            <w:vAlign w:val="center"/>
          </w:tcPr>
          <w:p>
            <w:pPr>
              <w:widowControl/>
              <w:tabs>
                <w:tab w:val="center" w:pos="829"/>
              </w:tabs>
              <w:spacing w:after="180" w:line="579" w:lineRule="exact"/>
              <w:jc w:val="left"/>
              <w:rPr>
                <w:rFonts w:hint="default" w:eastAsia="宋体" w:cs="Times New Roman"/>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eastAsia="zh-CN"/>
              </w:rPr>
              <w:tab/>
            </w:r>
            <w:r>
              <w:rPr>
                <w:rFonts w:hint="eastAsia" w:ascii="宋体" w:hAnsi="宋体" w:cs="宋体"/>
                <w:color w:val="000000"/>
                <w:kern w:val="0"/>
                <w:sz w:val="20"/>
                <w:szCs w:val="20"/>
                <w:lang w:val="en-US" w:eastAsia="zh-CN"/>
              </w:rPr>
              <w:t>0</w:t>
            </w:r>
          </w:p>
        </w:tc>
        <w:tc>
          <w:tcPr>
            <w:tcW w:w="1271" w:type="dxa"/>
            <w:gridSpan w:val="2"/>
            <w:tcBorders>
              <w:top w:val="nil"/>
              <w:left w:val="nil"/>
              <w:bottom w:val="single" w:color="auto" w:sz="4" w:space="0"/>
              <w:right w:val="single" w:color="auto" w:sz="8" w:space="0"/>
            </w:tcBorders>
            <w:tcMar>
              <w:left w:w="108" w:type="dxa"/>
              <w:right w:w="108" w:type="dxa"/>
            </w:tcMar>
            <w:vAlign w:val="center"/>
          </w:tcPr>
          <w:p>
            <w:pPr>
              <w:widowControl/>
              <w:tabs>
                <w:tab w:val="center" w:pos="527"/>
              </w:tabs>
              <w:spacing w:after="180" w:line="579" w:lineRule="exact"/>
              <w:jc w:val="left"/>
              <w:rPr>
                <w:rFonts w:hint="default" w:eastAsia="宋体" w:cs="Times New Roman"/>
                <w:lang w:val="en-US" w:eastAsia="zh-CN"/>
              </w:rPr>
            </w:pPr>
            <w:r>
              <w:rPr>
                <w:rFonts w:ascii="宋体" w:cs="Times New Roman"/>
                <w:color w:val="000000"/>
                <w:kern w:val="0"/>
                <w:sz w:val="20"/>
                <w:szCs w:val="20"/>
              </w:rPr>
              <w:t> </w:t>
            </w:r>
            <w:r>
              <w:rPr>
                <w:rFonts w:hint="eastAsia" w:ascii="宋体" w:cs="Times New Roman"/>
                <w:color w:val="000000"/>
                <w:kern w:val="0"/>
                <w:sz w:val="20"/>
                <w:szCs w:val="20"/>
                <w:lang w:eastAsia="zh-CN"/>
              </w:rPr>
              <w:tab/>
            </w:r>
            <w:r>
              <w:rPr>
                <w:rFonts w:hint="eastAsia" w:ascii="宋体" w:cs="Times New Roman"/>
                <w:color w:val="000000"/>
                <w:kern w:val="0"/>
                <w:sz w:val="20"/>
                <w:szCs w:val="20"/>
                <w:lang w:val="en-US" w:eastAsia="zh-CN"/>
              </w:rPr>
              <w:t>0</w:t>
            </w:r>
          </w:p>
        </w:tc>
        <w:tc>
          <w:tcPr>
            <w:tcW w:w="1881" w:type="dxa"/>
            <w:tcBorders>
              <w:top w:val="nil"/>
              <w:left w:val="nil"/>
              <w:bottom w:val="single" w:color="auto" w:sz="4" w:space="0"/>
              <w:right w:val="single" w:color="auto" w:sz="8" w:space="0"/>
            </w:tcBorders>
            <w:tcMar>
              <w:left w:w="108" w:type="dxa"/>
              <w:right w:w="108" w:type="dxa"/>
            </w:tcMar>
            <w:vAlign w:val="center"/>
          </w:tcPr>
          <w:p>
            <w:pPr>
              <w:widowControl/>
              <w:tabs>
                <w:tab w:val="center" w:pos="832"/>
              </w:tabs>
              <w:spacing w:after="180" w:line="579" w:lineRule="exact"/>
              <w:jc w:val="left"/>
              <w:rPr>
                <w:rFonts w:hint="default" w:eastAsia="宋体" w:cs="Times New Roman"/>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eastAsia="zh-CN"/>
              </w:rPr>
              <w:tab/>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694" w:hRule="atLeast"/>
          <w:jc w:val="center"/>
        </w:trPr>
        <w:tc>
          <w:tcPr>
            <w:tcW w:w="3055" w:type="dxa"/>
            <w:tcBorders>
              <w:top w:val="single" w:color="auto" w:sz="4" w:space="0"/>
              <w:left w:val="single" w:color="auto" w:sz="8" w:space="0"/>
              <w:bottom w:val="single" w:color="auto" w:sz="8" w:space="0"/>
              <w:right w:val="single" w:color="auto" w:sz="8" w:space="0"/>
            </w:tcBorders>
            <w:tcMar>
              <w:left w:w="108" w:type="dxa"/>
              <w:right w:w="108" w:type="dxa"/>
            </w:tcMar>
            <w:vAlign w:val="center"/>
          </w:tcPr>
          <w:p>
            <w:pPr>
              <w:widowControl/>
              <w:spacing w:after="180" w:line="579" w:lineRule="exact"/>
              <w:jc w:val="left"/>
              <w:rPr>
                <w:rFonts w:cs="Times New Roman"/>
              </w:rPr>
            </w:pPr>
            <w:r>
              <w:rPr>
                <w:rFonts w:hint="eastAsia" w:ascii="宋体" w:hAnsi="宋体" w:cs="宋体"/>
                <w:color w:val="000000"/>
                <w:kern w:val="0"/>
                <w:sz w:val="20"/>
                <w:szCs w:val="20"/>
              </w:rPr>
              <w:t>规范性文件</w:t>
            </w:r>
          </w:p>
        </w:tc>
        <w:tc>
          <w:tcPr>
            <w:tcW w:w="1875" w:type="dxa"/>
            <w:tcBorders>
              <w:top w:val="single" w:color="auto" w:sz="4" w:space="0"/>
              <w:left w:val="nil"/>
              <w:bottom w:val="single" w:color="auto" w:sz="8" w:space="0"/>
              <w:right w:val="single" w:color="auto" w:sz="8" w:space="0"/>
            </w:tcBorders>
            <w:tcMar>
              <w:left w:w="108" w:type="dxa"/>
              <w:right w:w="108" w:type="dxa"/>
            </w:tcMar>
            <w:vAlign w:val="center"/>
          </w:tcPr>
          <w:p>
            <w:pPr>
              <w:widowControl/>
              <w:spacing w:after="180" w:line="579" w:lineRule="exact"/>
              <w:jc w:val="left"/>
              <w:rPr>
                <w:rFonts w:hint="eastAsia" w:eastAsia="宋体" w:cs="Times New Roman"/>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271" w:type="dxa"/>
            <w:gridSpan w:val="2"/>
            <w:tcBorders>
              <w:top w:val="single" w:color="auto" w:sz="4" w:space="0"/>
              <w:left w:val="nil"/>
              <w:bottom w:val="single" w:color="auto" w:sz="8" w:space="0"/>
              <w:right w:val="single" w:color="auto" w:sz="8" w:space="0"/>
            </w:tcBorders>
            <w:tcMar>
              <w:left w:w="108" w:type="dxa"/>
              <w:right w:w="108" w:type="dxa"/>
            </w:tcMar>
            <w:vAlign w:val="center"/>
          </w:tcPr>
          <w:p>
            <w:pPr>
              <w:widowControl/>
              <w:spacing w:after="180" w:line="579" w:lineRule="exact"/>
              <w:ind w:firstLine="400" w:firstLineChars="200"/>
              <w:jc w:val="left"/>
              <w:rPr>
                <w:rFonts w:hint="eastAsia" w:eastAsia="宋体" w:cs="Times New Roman"/>
                <w:lang w:val="en-US" w:eastAsia="zh-CN"/>
              </w:rPr>
            </w:pPr>
            <w:r>
              <w:rPr>
                <w:rFonts w:ascii="宋体" w:cs="Times New Roman"/>
                <w:color w:val="000000"/>
                <w:kern w:val="0"/>
                <w:sz w:val="20"/>
                <w:szCs w:val="20"/>
              </w:rPr>
              <w:t> </w:t>
            </w:r>
            <w:r>
              <w:rPr>
                <w:rFonts w:hint="eastAsia" w:ascii="宋体" w:cs="Times New Roman"/>
                <w:color w:val="000000"/>
                <w:kern w:val="0"/>
                <w:sz w:val="20"/>
                <w:szCs w:val="20"/>
                <w:lang w:val="en-US" w:eastAsia="zh-CN"/>
              </w:rPr>
              <w:t>0</w:t>
            </w:r>
          </w:p>
        </w:tc>
        <w:tc>
          <w:tcPr>
            <w:tcW w:w="1881" w:type="dxa"/>
            <w:tcBorders>
              <w:top w:val="single" w:color="auto" w:sz="4" w:space="0"/>
              <w:left w:val="nil"/>
              <w:bottom w:val="single" w:color="auto" w:sz="8" w:space="0"/>
              <w:right w:val="single" w:color="auto" w:sz="8" w:space="0"/>
            </w:tcBorders>
            <w:tcMar>
              <w:left w:w="108" w:type="dxa"/>
              <w:right w:w="108" w:type="dxa"/>
            </w:tcMar>
            <w:vAlign w:val="center"/>
          </w:tcPr>
          <w:p>
            <w:pPr>
              <w:widowControl/>
              <w:spacing w:after="180" w:line="579" w:lineRule="exact"/>
              <w:jc w:val="left"/>
              <w:rPr>
                <w:rFonts w:hint="default" w:eastAsia="宋体" w:cs="Times New Roman"/>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 xml:space="preserve">   0</w:t>
            </w:r>
          </w:p>
        </w:tc>
      </w:tr>
      <w:tr>
        <w:tblPrEx>
          <w:tblCellMar>
            <w:top w:w="0" w:type="dxa"/>
            <w:left w:w="0" w:type="dxa"/>
            <w:bottom w:w="0" w:type="dxa"/>
            <w:right w:w="0" w:type="dxa"/>
          </w:tblCellMar>
        </w:tblPrEx>
        <w:trPr>
          <w:trHeight w:val="480" w:hRule="atLeast"/>
          <w:jc w:val="center"/>
        </w:trPr>
        <w:tc>
          <w:tcPr>
            <w:tcW w:w="8082"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line="579" w:lineRule="exact"/>
              <w:jc w:val="center"/>
              <w:rPr>
                <w:rFonts w:cs="Times New Roman"/>
              </w:rPr>
            </w:pPr>
            <w:r>
              <w:rPr>
                <w:rFonts w:hint="eastAsia" w:ascii="宋体" w:hAnsi="宋体"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055"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ascii="宋体" w:hAnsi="宋体" w:cs="宋体"/>
                <w:color w:val="000000"/>
                <w:kern w:val="0"/>
                <w:sz w:val="20"/>
                <w:szCs w:val="20"/>
              </w:rPr>
              <w:t>本年增</w:t>
            </w:r>
            <w:r>
              <w:rPr>
                <w:rFonts w:ascii="宋体" w:hAnsi="宋体" w:cs="宋体"/>
                <w:color w:val="000000"/>
                <w:kern w:val="0"/>
                <w:sz w:val="20"/>
                <w:szCs w:val="20"/>
              </w:rPr>
              <w:t>/</w:t>
            </w:r>
            <w:r>
              <w:rPr>
                <w:rFonts w:hint="eastAsia" w:ascii="宋体" w:hAnsi="宋体" w:cs="宋体"/>
                <w:color w:val="000000"/>
                <w:kern w:val="0"/>
                <w:sz w:val="20"/>
                <w:szCs w:val="20"/>
              </w:rPr>
              <w:t>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055"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line="579" w:lineRule="exact"/>
              <w:jc w:val="left"/>
              <w:rPr>
                <w:rFonts w:cs="Times New Roman"/>
              </w:rPr>
            </w:pPr>
            <w:r>
              <w:rPr>
                <w:rFonts w:hint="eastAsia" w:ascii="宋体" w:hAnsi="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left"/>
              <w:rPr>
                <w:rFonts w:hint="default" w:eastAsia="宋体" w:cs="Times New Roman"/>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 xml:space="preserve">     2</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ind w:firstLine="400"/>
              <w:jc w:val="left"/>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left"/>
              <w:rPr>
                <w:rFonts w:hint="default" w:eastAsia="宋体" w:cs="Times New Roman"/>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 xml:space="preserve">    14</w:t>
            </w:r>
          </w:p>
        </w:tc>
      </w:tr>
      <w:tr>
        <w:tblPrEx>
          <w:tblCellMar>
            <w:top w:w="0" w:type="dxa"/>
            <w:left w:w="0" w:type="dxa"/>
            <w:bottom w:w="0" w:type="dxa"/>
            <w:right w:w="0" w:type="dxa"/>
          </w:tblCellMar>
        </w:tblPrEx>
        <w:trPr>
          <w:trHeight w:val="550" w:hRule="atLeast"/>
          <w:jc w:val="center"/>
        </w:trPr>
        <w:tc>
          <w:tcPr>
            <w:tcW w:w="3055"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line="579" w:lineRule="exact"/>
              <w:jc w:val="left"/>
              <w:rPr>
                <w:rFonts w:cs="Times New Roman"/>
              </w:rPr>
            </w:pPr>
            <w:r>
              <w:rPr>
                <w:rFonts w:hint="eastAsia" w:ascii="宋体" w:hAnsi="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left"/>
              <w:rPr>
                <w:rFonts w:hint="default" w:eastAsia="宋体" w:cs="Times New Roman"/>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 xml:space="preserve">     86</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left"/>
              <w:rPr>
                <w:rFonts w:hint="default" w:eastAsia="宋体" w:cs="Times New Roman"/>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 xml:space="preserve"> +27</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left"/>
              <w:rPr>
                <w:rFonts w:hint="default" w:eastAsia="宋体" w:cs="Times New Roman"/>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 xml:space="preserve">  58312</w:t>
            </w:r>
          </w:p>
        </w:tc>
      </w:tr>
      <w:tr>
        <w:tblPrEx>
          <w:tblCellMar>
            <w:top w:w="0" w:type="dxa"/>
            <w:left w:w="0" w:type="dxa"/>
            <w:bottom w:w="0" w:type="dxa"/>
            <w:right w:w="0" w:type="dxa"/>
          </w:tblCellMar>
        </w:tblPrEx>
        <w:trPr>
          <w:trHeight w:val="406" w:hRule="atLeast"/>
          <w:jc w:val="center"/>
        </w:trPr>
        <w:tc>
          <w:tcPr>
            <w:tcW w:w="8082"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line="579" w:lineRule="exact"/>
              <w:jc w:val="center"/>
              <w:rPr>
                <w:rFonts w:cs="Times New Roman"/>
              </w:rPr>
            </w:pPr>
            <w:r>
              <w:rPr>
                <w:rFonts w:hint="eastAsia" w:ascii="宋体" w:hAnsi="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055"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ascii="宋体" w:hAnsi="宋体" w:cs="宋体"/>
                <w:color w:val="000000"/>
                <w:kern w:val="0"/>
                <w:sz w:val="20"/>
                <w:szCs w:val="20"/>
              </w:rPr>
              <w:t>本年增</w:t>
            </w:r>
            <w:r>
              <w:rPr>
                <w:rFonts w:ascii="宋体" w:hAnsi="宋体" w:cs="宋体"/>
                <w:color w:val="000000"/>
                <w:kern w:val="0"/>
                <w:sz w:val="20"/>
                <w:szCs w:val="20"/>
              </w:rPr>
              <w:t>/</w:t>
            </w:r>
            <w:r>
              <w:rPr>
                <w:rFonts w:hint="eastAsia" w:ascii="宋体" w:hAnsi="宋体" w:cs="宋体"/>
                <w:color w:val="000000"/>
                <w:kern w:val="0"/>
                <w:sz w:val="20"/>
                <w:szCs w:val="20"/>
              </w:rPr>
              <w:t>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055"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line="579" w:lineRule="exact"/>
              <w:jc w:val="left"/>
              <w:rPr>
                <w:rFonts w:cs="Times New Roman"/>
              </w:rPr>
            </w:pPr>
            <w:r>
              <w:rPr>
                <w:rFonts w:hint="eastAsia" w:ascii="宋体" w:hAnsi="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left"/>
              <w:rPr>
                <w:rFonts w:hint="default" w:eastAsia="宋体" w:cs="Times New Roman"/>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 xml:space="preserve">     76</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left"/>
              <w:rPr>
                <w:rFonts w:hint="default" w:eastAsia="宋体" w:cs="Times New Roman"/>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 xml:space="preserve">   -27</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left"/>
              <w:rPr>
                <w:rFonts w:hint="default" w:eastAsia="宋体" w:cs="Times New Roman"/>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 xml:space="preserve">    3</w:t>
            </w:r>
          </w:p>
        </w:tc>
      </w:tr>
      <w:tr>
        <w:tblPrEx>
          <w:tblCellMar>
            <w:top w:w="0" w:type="dxa"/>
            <w:left w:w="0" w:type="dxa"/>
            <w:bottom w:w="0" w:type="dxa"/>
            <w:right w:w="0" w:type="dxa"/>
          </w:tblCellMar>
        </w:tblPrEx>
        <w:trPr>
          <w:trHeight w:val="409" w:hRule="atLeast"/>
          <w:jc w:val="center"/>
        </w:trPr>
        <w:tc>
          <w:tcPr>
            <w:tcW w:w="3055"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line="579" w:lineRule="exact"/>
              <w:jc w:val="left"/>
              <w:rPr>
                <w:rFonts w:cs="Times New Roman"/>
              </w:rPr>
            </w:pPr>
            <w:r>
              <w:rPr>
                <w:rFonts w:hint="eastAsia" w:ascii="宋体" w:hAnsi="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left"/>
              <w:rPr>
                <w:rFonts w:hint="default" w:eastAsia="宋体" w:cs="Times New Roman"/>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 xml:space="preserve">     0</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left"/>
              <w:rPr>
                <w:rFonts w:hint="default" w:eastAsia="宋体" w:cs="Times New Roman"/>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 xml:space="preserve">  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left"/>
              <w:rPr>
                <w:rFonts w:hint="default" w:eastAsia="宋体" w:cs="Times New Roman"/>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 xml:space="preserve">    0</w:t>
            </w:r>
          </w:p>
        </w:tc>
      </w:tr>
      <w:tr>
        <w:tblPrEx>
          <w:tblCellMar>
            <w:top w:w="0" w:type="dxa"/>
            <w:left w:w="0" w:type="dxa"/>
            <w:bottom w:w="0" w:type="dxa"/>
            <w:right w:w="0" w:type="dxa"/>
          </w:tblCellMar>
        </w:tblPrEx>
        <w:trPr>
          <w:trHeight w:val="474" w:hRule="atLeast"/>
          <w:jc w:val="center"/>
        </w:trPr>
        <w:tc>
          <w:tcPr>
            <w:tcW w:w="8082"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line="579" w:lineRule="exact"/>
              <w:jc w:val="center"/>
              <w:rPr>
                <w:rFonts w:cs="Times New Roman"/>
              </w:rPr>
            </w:pPr>
            <w:r>
              <w:rPr>
                <w:rFonts w:hint="eastAsia" w:ascii="宋体" w:hAnsi="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055"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left"/>
              <w:rPr>
                <w:rFonts w:cs="Times New Roman"/>
              </w:rPr>
            </w:pPr>
            <w:r>
              <w:rPr>
                <w:rFonts w:hint="eastAsia" w:ascii="宋体" w:hAnsi="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widowControl/>
              <w:spacing w:after="180" w:line="579" w:lineRule="exact"/>
              <w:jc w:val="center"/>
              <w:rPr>
                <w:rFonts w:cs="Times New Roman"/>
              </w:rPr>
            </w:pPr>
            <w:r>
              <w:rPr>
                <w:rFonts w:hint="eastAsia" w:ascii="宋体" w:hAnsi="宋体" w:cs="宋体"/>
                <w:color w:val="000000"/>
                <w:kern w:val="0"/>
                <w:sz w:val="20"/>
                <w:szCs w:val="20"/>
              </w:rPr>
              <w:t>本年增</w:t>
            </w:r>
            <w:r>
              <w:rPr>
                <w:rFonts w:ascii="宋体" w:hAnsi="宋体" w:cs="宋体"/>
                <w:color w:val="000000"/>
                <w:kern w:val="0"/>
                <w:sz w:val="20"/>
                <w:szCs w:val="20"/>
              </w:rPr>
              <w:t>/</w:t>
            </w:r>
            <w:r>
              <w:rPr>
                <w:rFonts w:hint="eastAsia" w:ascii="宋体" w:hAnsi="宋体" w:cs="宋体"/>
                <w:color w:val="000000"/>
                <w:kern w:val="0"/>
                <w:sz w:val="20"/>
                <w:szCs w:val="20"/>
              </w:rPr>
              <w:t>减</w:t>
            </w:r>
          </w:p>
        </w:tc>
      </w:tr>
      <w:tr>
        <w:tblPrEx>
          <w:tblCellMar>
            <w:top w:w="0" w:type="dxa"/>
            <w:left w:w="0" w:type="dxa"/>
            <w:bottom w:w="0" w:type="dxa"/>
            <w:right w:w="0" w:type="dxa"/>
          </w:tblCellMar>
        </w:tblPrEx>
        <w:trPr>
          <w:trHeight w:val="551" w:hRule="atLeast"/>
          <w:jc w:val="center"/>
        </w:trPr>
        <w:tc>
          <w:tcPr>
            <w:tcW w:w="3055"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line="579" w:lineRule="exact"/>
              <w:jc w:val="left"/>
              <w:rPr>
                <w:rFonts w:cs="Times New Roman"/>
              </w:rPr>
            </w:pPr>
            <w:r>
              <w:rPr>
                <w:rFonts w:hint="eastAsia" w:ascii="宋体" w:hAnsi="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ind w:firstLine="800" w:firstLineChars="400"/>
              <w:jc w:val="left"/>
              <w:rPr>
                <w:rFonts w:cs="Times New Roman"/>
              </w:rPr>
            </w:pPr>
            <w:r>
              <w:rPr>
                <w:rFonts w:ascii="宋体" w:cs="宋体"/>
                <w:color w:val="000000"/>
                <w:kern w:val="0"/>
                <w:sz w:val="20"/>
                <w:szCs w:val="20"/>
              </w:rPr>
              <w:t>0</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widowControl/>
              <w:spacing w:after="180" w:line="579" w:lineRule="exact"/>
              <w:jc w:val="center"/>
              <w:rPr>
                <w:rFonts w:cs="Times New Roman"/>
              </w:rPr>
            </w:pPr>
            <w:r>
              <w:rPr>
                <w:rFonts w:ascii="宋体" w:cs="宋体"/>
                <w:color w:val="000000"/>
                <w:kern w:val="0"/>
                <w:sz w:val="20"/>
                <w:szCs w:val="20"/>
              </w:rPr>
              <w:t>0</w:t>
            </w:r>
          </w:p>
        </w:tc>
      </w:tr>
      <w:tr>
        <w:tblPrEx>
          <w:tblCellMar>
            <w:top w:w="0" w:type="dxa"/>
            <w:left w:w="0" w:type="dxa"/>
            <w:bottom w:w="0" w:type="dxa"/>
            <w:right w:w="0" w:type="dxa"/>
          </w:tblCellMar>
        </w:tblPrEx>
        <w:trPr>
          <w:trHeight w:val="476" w:hRule="atLeast"/>
          <w:jc w:val="center"/>
        </w:trPr>
        <w:tc>
          <w:tcPr>
            <w:tcW w:w="8082"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line="579" w:lineRule="exact"/>
              <w:jc w:val="center"/>
              <w:rPr>
                <w:rFonts w:cs="Times New Roman"/>
              </w:rPr>
            </w:pPr>
            <w:r>
              <w:rPr>
                <w:rFonts w:hint="eastAsia" w:ascii="宋体" w:hAnsi="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055"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ascii="宋体" w:hAnsi="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widowControl/>
              <w:spacing w:after="180" w:line="579" w:lineRule="exact"/>
              <w:jc w:val="center"/>
              <w:rPr>
                <w:rFonts w:cs="Times New Roman"/>
              </w:rPr>
            </w:pPr>
            <w:r>
              <w:rPr>
                <w:rFonts w:hint="eastAsia" w:ascii="宋体" w:hAnsi="宋体" w:cs="宋体"/>
                <w:color w:val="000000"/>
                <w:kern w:val="0"/>
                <w:sz w:val="20"/>
                <w:szCs w:val="20"/>
              </w:rPr>
              <w:t>采购总金额</w:t>
            </w:r>
          </w:p>
        </w:tc>
      </w:tr>
      <w:tr>
        <w:tblPrEx>
          <w:tblCellMar>
            <w:top w:w="0" w:type="dxa"/>
            <w:left w:w="0" w:type="dxa"/>
            <w:bottom w:w="0" w:type="dxa"/>
            <w:right w:w="0" w:type="dxa"/>
          </w:tblCellMar>
        </w:tblPrEx>
        <w:trPr>
          <w:trHeight w:val="539" w:hRule="atLeast"/>
          <w:jc w:val="center"/>
        </w:trPr>
        <w:tc>
          <w:tcPr>
            <w:tcW w:w="3055"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line="579" w:lineRule="exact"/>
              <w:jc w:val="left"/>
              <w:rPr>
                <w:rFonts w:cs="Times New Roman"/>
              </w:rPr>
            </w:pPr>
            <w:r>
              <w:rPr>
                <w:rFonts w:hint="eastAsia" w:ascii="宋体" w:hAnsi="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left"/>
              <w:rPr>
                <w:rFonts w:hint="default" w:eastAsia="宋体" w:cs="Times New Roman"/>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 xml:space="preserve">     24</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spacing w:line="579" w:lineRule="exact"/>
              <w:rPr>
                <w:rFonts w:hint="default" w:ascii="宋体" w:eastAsia="宋体" w:cs="Times New Roman"/>
                <w:sz w:val="24"/>
                <w:szCs w:val="24"/>
                <w:lang w:val="en-US" w:eastAsia="zh-CN"/>
              </w:rPr>
            </w:pPr>
            <w:r>
              <w:rPr>
                <w:rFonts w:hint="eastAsia" w:ascii="宋体" w:cs="Times New Roman"/>
                <w:sz w:val="24"/>
                <w:szCs w:val="24"/>
                <w:lang w:val="en-US" w:eastAsia="zh-CN"/>
              </w:rPr>
              <w:t xml:space="preserve">        142783.6</w:t>
            </w:r>
          </w:p>
        </w:tc>
      </w:tr>
    </w:tbl>
    <w:p>
      <w:pPr>
        <w:pStyle w:val="4"/>
        <w:widowControl/>
        <w:numPr>
          <w:ilvl w:val="0"/>
          <w:numId w:val="0"/>
        </w:numPr>
        <w:shd w:val="clear" w:color="auto" w:fill="FFFFFF"/>
        <w:spacing w:beforeAutospacing="0" w:after="240" w:afterAutospacing="0" w:line="579" w:lineRule="exact"/>
        <w:jc w:val="both"/>
        <w:rPr>
          <w:rFonts w:hint="eastAsia" w:ascii="仿宋" w:hAnsi="仿宋" w:eastAsia="仿宋" w:cs="仿宋"/>
          <w:b/>
          <w:bCs/>
          <w:color w:val="333333"/>
          <w:sz w:val="32"/>
          <w:szCs w:val="32"/>
          <w:shd w:val="clear" w:color="auto" w:fill="FFFFFF"/>
        </w:rPr>
      </w:pPr>
    </w:p>
    <w:p>
      <w:pPr>
        <w:pStyle w:val="4"/>
        <w:widowControl/>
        <w:numPr>
          <w:ilvl w:val="0"/>
          <w:numId w:val="0"/>
        </w:numPr>
        <w:shd w:val="clear" w:color="auto" w:fill="FFFFFF"/>
        <w:spacing w:beforeAutospacing="0" w:after="240" w:afterAutospacing="0" w:line="579" w:lineRule="exact"/>
        <w:jc w:val="both"/>
        <w:rPr>
          <w:rFonts w:hint="eastAsia" w:ascii="仿宋" w:hAnsi="仿宋" w:eastAsia="仿宋" w:cs="仿宋"/>
          <w:b/>
          <w:bCs/>
          <w:color w:val="333333"/>
          <w:sz w:val="32"/>
          <w:szCs w:val="32"/>
          <w:shd w:val="clear" w:color="auto" w:fill="FFFFFF"/>
        </w:rPr>
      </w:pPr>
    </w:p>
    <w:p>
      <w:pPr>
        <w:pStyle w:val="4"/>
        <w:widowControl/>
        <w:numPr>
          <w:ilvl w:val="0"/>
          <w:numId w:val="0"/>
        </w:numPr>
        <w:shd w:val="clear" w:color="auto" w:fill="FFFFFF"/>
        <w:spacing w:beforeAutospacing="0" w:after="240" w:afterAutospacing="0" w:line="579" w:lineRule="exact"/>
        <w:jc w:val="both"/>
        <w:rPr>
          <w:rFonts w:hint="eastAsia" w:ascii="仿宋" w:hAnsi="仿宋" w:eastAsia="仿宋" w:cs="仿宋"/>
          <w:b/>
          <w:bCs/>
          <w:color w:val="333333"/>
          <w:sz w:val="32"/>
          <w:szCs w:val="32"/>
          <w:shd w:val="clear" w:color="auto" w:fill="FFFFFF"/>
        </w:rPr>
      </w:pPr>
    </w:p>
    <w:p>
      <w:pPr>
        <w:pStyle w:val="4"/>
        <w:widowControl/>
        <w:numPr>
          <w:ilvl w:val="0"/>
          <w:numId w:val="1"/>
        </w:numPr>
        <w:shd w:val="clear" w:color="auto" w:fill="FFFFFF"/>
        <w:spacing w:beforeAutospacing="0" w:after="240" w:afterAutospacing="0" w:line="579" w:lineRule="exact"/>
        <w:jc w:val="both"/>
        <w:rPr>
          <w:rFonts w:hint="eastAsia"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收到和处理政府信息公开申请情况</w:t>
      </w:r>
    </w:p>
    <w:p>
      <w:pPr>
        <w:pStyle w:val="4"/>
        <w:widowControl/>
        <w:numPr>
          <w:ilvl w:val="0"/>
          <w:numId w:val="0"/>
        </w:numPr>
        <w:shd w:val="clear" w:color="auto" w:fill="FFFFFF"/>
        <w:spacing w:beforeAutospacing="0" w:after="240" w:afterAutospacing="0" w:line="579" w:lineRule="exact"/>
        <w:jc w:val="both"/>
        <w:rPr>
          <w:rFonts w:hint="eastAsia" w:ascii="仿宋" w:hAnsi="仿宋" w:eastAsia="仿宋" w:cs="仿宋"/>
          <w:b/>
          <w:bCs/>
          <w:color w:val="333333"/>
          <w:sz w:val="32"/>
          <w:szCs w:val="32"/>
          <w:shd w:val="clear" w:color="auto" w:fill="FFFFFF"/>
        </w:rPr>
      </w:pP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8"/>
        <w:gridCol w:w="854"/>
        <w:gridCol w:w="2247"/>
        <w:gridCol w:w="653"/>
        <w:gridCol w:w="755"/>
        <w:gridCol w:w="755"/>
        <w:gridCol w:w="814"/>
        <w:gridCol w:w="974"/>
        <w:gridCol w:w="712"/>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19" w:type="dxa"/>
            <w:gridSpan w:val="3"/>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ascii="宋体" w:hAnsi="宋体" w:cs="宋体"/>
                <w:kern w:val="0"/>
                <w:sz w:val="20"/>
                <w:szCs w:val="20"/>
              </w:rPr>
              <w:t>（本列数据的勾稽关系为：第一项加第二项之和，等于第三项加第四项之和）</w:t>
            </w:r>
          </w:p>
        </w:tc>
        <w:tc>
          <w:tcPr>
            <w:tcW w:w="5352" w:type="dxa"/>
            <w:gridSpan w:val="7"/>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ascii="宋体" w:hAnsi="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19"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79" w:lineRule="exact"/>
              <w:rPr>
                <w:rFonts w:ascii="宋体" w:cs="Times New Roman"/>
                <w:sz w:val="24"/>
                <w:szCs w:val="24"/>
              </w:rPr>
            </w:pPr>
          </w:p>
        </w:tc>
        <w:tc>
          <w:tcPr>
            <w:tcW w:w="653" w:type="dxa"/>
            <w:vMerge w:val="restart"/>
            <w:tcBorders>
              <w:top w:val="single" w:color="auto" w:sz="4" w:space="0"/>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ascii="宋体" w:hAnsi="宋体" w:cs="宋体"/>
                <w:kern w:val="0"/>
                <w:sz w:val="20"/>
                <w:szCs w:val="20"/>
              </w:rPr>
              <w:t>自然人</w:t>
            </w:r>
          </w:p>
        </w:tc>
        <w:tc>
          <w:tcPr>
            <w:tcW w:w="401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ascii="宋体" w:hAnsi="宋体" w:cs="宋体"/>
                <w:kern w:val="0"/>
                <w:sz w:val="20"/>
                <w:szCs w:val="20"/>
              </w:rPr>
              <w:t>法人或其他组织</w:t>
            </w:r>
          </w:p>
        </w:tc>
        <w:tc>
          <w:tcPr>
            <w:tcW w:w="689"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ascii="宋体" w:hAnsi="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19"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79" w:lineRule="exact"/>
              <w:rPr>
                <w:rFonts w:ascii="宋体" w:cs="Times New Roman"/>
                <w:sz w:val="24"/>
                <w:szCs w:val="24"/>
              </w:rPr>
            </w:pPr>
          </w:p>
        </w:tc>
        <w:tc>
          <w:tcPr>
            <w:tcW w:w="653" w:type="dxa"/>
            <w:vMerge w:val="continue"/>
            <w:tcBorders>
              <w:top w:val="nil"/>
              <w:left w:val="nil"/>
              <w:bottom w:val="single" w:color="auto" w:sz="8" w:space="0"/>
              <w:right w:val="single" w:color="auto" w:sz="8" w:space="0"/>
            </w:tcBorders>
            <w:tcMar>
              <w:left w:w="108" w:type="dxa"/>
              <w:right w:w="108" w:type="dxa"/>
            </w:tcMar>
            <w:vAlign w:val="center"/>
          </w:tcPr>
          <w:p>
            <w:pPr>
              <w:spacing w:line="579" w:lineRule="exact"/>
              <w:rPr>
                <w:rFonts w:ascii="宋体" w:cs="Times New Roman"/>
                <w:sz w:val="24"/>
                <w:szCs w:val="24"/>
              </w:rPr>
            </w:pP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ascii="宋体" w:hAnsi="宋体" w:cs="宋体"/>
                <w:kern w:val="0"/>
                <w:sz w:val="20"/>
                <w:szCs w:val="20"/>
              </w:rPr>
              <w:t>商业企业</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ascii="宋体" w:hAnsi="宋体" w:cs="宋体"/>
                <w:kern w:val="0"/>
                <w:sz w:val="20"/>
                <w:szCs w:val="20"/>
              </w:rPr>
              <w:t>科研机构</w:t>
            </w:r>
          </w:p>
        </w:tc>
        <w:tc>
          <w:tcPr>
            <w:tcW w:w="814"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ascii="宋体" w:hAnsi="宋体" w:cs="宋体"/>
                <w:kern w:val="0"/>
                <w:sz w:val="20"/>
                <w:szCs w:val="20"/>
              </w:rPr>
              <w:t>社会公益组织</w:t>
            </w:r>
          </w:p>
        </w:tc>
        <w:tc>
          <w:tcPr>
            <w:tcW w:w="974"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ascii="宋体" w:hAnsi="宋体" w:cs="宋体"/>
                <w:kern w:val="0"/>
                <w:sz w:val="20"/>
                <w:szCs w:val="20"/>
              </w:rPr>
              <w:t>法律服务机构</w:t>
            </w:r>
          </w:p>
        </w:tc>
        <w:tc>
          <w:tcPr>
            <w:tcW w:w="712"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ascii="宋体" w:hAnsi="宋体" w:cs="宋体"/>
                <w:kern w:val="0"/>
                <w:sz w:val="20"/>
                <w:szCs w:val="20"/>
              </w:rPr>
              <w:t>其他</w:t>
            </w:r>
          </w:p>
        </w:tc>
        <w:tc>
          <w:tcPr>
            <w:tcW w:w="689"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spacing w:line="579" w:lineRule="exact"/>
              <w:rPr>
                <w:rFonts w:ascii="宋体" w:cs="Times New Roman"/>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19"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line="579" w:lineRule="exact"/>
              <w:jc w:val="left"/>
              <w:rPr>
                <w:rFonts w:cs="Times New Roman"/>
              </w:rPr>
            </w:pPr>
            <w:r>
              <w:rPr>
                <w:rFonts w:hint="eastAsia" w:ascii="宋体" w:hAnsi="宋体" w:cs="宋体"/>
                <w:kern w:val="0"/>
                <w:sz w:val="20"/>
                <w:szCs w:val="20"/>
              </w:rPr>
              <w:t>一、本年新收政府信息公开申请数量</w:t>
            </w:r>
          </w:p>
        </w:tc>
        <w:tc>
          <w:tcPr>
            <w:tcW w:w="653"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0</w:t>
            </w:r>
            <w:r>
              <w:rPr>
                <w:rFonts w:cs="Times New Roman"/>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19"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line="579" w:lineRule="exact"/>
              <w:jc w:val="left"/>
              <w:rPr>
                <w:rFonts w:cs="Times New Roman"/>
              </w:rPr>
            </w:pPr>
            <w:r>
              <w:rPr>
                <w:rFonts w:hint="eastAsia" w:ascii="宋体" w:hAnsi="宋体" w:cs="宋体"/>
                <w:kern w:val="0"/>
                <w:sz w:val="20"/>
                <w:szCs w:val="20"/>
              </w:rPr>
              <w:t>二、上年结转政府信息公开申请数量</w:t>
            </w:r>
          </w:p>
        </w:tc>
        <w:tc>
          <w:tcPr>
            <w:tcW w:w="653"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eastAsia="zh-CN"/>
              </w:rPr>
            </w:pPr>
            <w:r>
              <w:rPr>
                <w:rFonts w:hint="eastAsia" w:cs="Times New Roman"/>
                <w:kern w:val="0"/>
                <w:sz w:val="20"/>
                <w:szCs w:val="20"/>
                <w:lang w:val="en-US" w:eastAsia="zh-CN"/>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ascii="宋体" w:hAnsi="宋体" w:cs="宋体"/>
                <w:kern w:val="0"/>
                <w:sz w:val="20"/>
                <w:szCs w:val="20"/>
              </w:rPr>
              <w:t>三、本年度办理结果</w:t>
            </w:r>
          </w:p>
        </w:tc>
        <w:tc>
          <w:tcPr>
            <w:tcW w:w="310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left"/>
              <w:rPr>
                <w:rFonts w:cs="Times New Roman"/>
              </w:rPr>
            </w:pPr>
            <w:r>
              <w:rPr>
                <w:rFonts w:hint="eastAsia" w:ascii="楷体" w:hAnsi="楷体" w:eastAsia="楷体" w:cs="楷体"/>
                <w:kern w:val="0"/>
                <w:sz w:val="20"/>
                <w:szCs w:val="20"/>
              </w:rPr>
              <w:t>（一）予以公开</w:t>
            </w:r>
          </w:p>
        </w:tc>
        <w:tc>
          <w:tcPr>
            <w:tcW w:w="653"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w:t>
            </w:r>
            <w:r>
              <w:rPr>
                <w:rFonts w:cs="Times New Roman"/>
                <w:ker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w:t>
            </w:r>
            <w:r>
              <w:rPr>
                <w:rFonts w:cs="Times New Roman"/>
                <w:kern w:val="0"/>
                <w:sz w:val="20"/>
                <w:szCs w:val="20"/>
              </w:rPr>
              <w:t> </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689"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79" w:lineRule="exact"/>
              <w:rPr>
                <w:rFonts w:ascii="宋体" w:cs="Times New Roman"/>
                <w:sz w:val="24"/>
                <w:szCs w:val="24"/>
              </w:rPr>
            </w:pPr>
          </w:p>
        </w:tc>
        <w:tc>
          <w:tcPr>
            <w:tcW w:w="310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left"/>
              <w:rPr>
                <w:rFonts w:cs="Times New Roman"/>
              </w:rPr>
            </w:pPr>
            <w:r>
              <w:rPr>
                <w:rFonts w:hint="eastAsia" w:ascii="楷体" w:hAnsi="楷体" w:eastAsia="楷体" w:cs="楷体"/>
                <w:kern w:val="0"/>
                <w:sz w:val="20"/>
                <w:szCs w:val="20"/>
              </w:rPr>
              <w:t>（二）部分公开（区分处理的，只计这一情形，不计其他情形）</w:t>
            </w:r>
          </w:p>
        </w:tc>
        <w:tc>
          <w:tcPr>
            <w:tcW w:w="653"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w:t>
            </w:r>
            <w:r>
              <w:rPr>
                <w:rFonts w:cs="Times New Roman"/>
                <w:ker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w:t>
            </w:r>
            <w:r>
              <w:rPr>
                <w:rFonts w:cs="Times New Roman"/>
                <w:kern w:val="0"/>
                <w:sz w:val="20"/>
                <w:szCs w:val="20"/>
              </w:rPr>
              <w:t> </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79" w:lineRule="exact"/>
              <w:rPr>
                <w:rFonts w:ascii="宋体" w:cs="Times New Roman"/>
                <w:sz w:val="24"/>
                <w:szCs w:val="24"/>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left"/>
              <w:rPr>
                <w:rFonts w:cs="Times New Roman"/>
              </w:rPr>
            </w:pPr>
            <w:r>
              <w:rPr>
                <w:rFonts w:hint="eastAsia" w:ascii="楷体" w:hAnsi="楷体" w:eastAsia="楷体" w:cs="楷体"/>
                <w:kern w:val="0"/>
                <w:sz w:val="20"/>
                <w:szCs w:val="20"/>
              </w:rPr>
              <w:t>（三）不予公开</w:t>
            </w:r>
          </w:p>
        </w:tc>
        <w:tc>
          <w:tcPr>
            <w:tcW w:w="2247"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left"/>
              <w:rPr>
                <w:rFonts w:cs="Times New Roman"/>
              </w:rPr>
            </w:pPr>
            <w:r>
              <w:rPr>
                <w:rFonts w:ascii="楷体" w:hAnsi="楷体" w:eastAsia="楷体" w:cs="楷体"/>
                <w:kern w:val="0"/>
                <w:sz w:val="20"/>
                <w:szCs w:val="20"/>
              </w:rPr>
              <w:t>1.</w:t>
            </w:r>
            <w:r>
              <w:rPr>
                <w:rFonts w:hint="eastAsia" w:ascii="楷体" w:hAnsi="楷体" w:eastAsia="楷体" w:cs="楷体"/>
                <w:kern w:val="0"/>
                <w:sz w:val="20"/>
                <w:szCs w:val="20"/>
              </w:rPr>
              <w:t>属于国家秘密</w:t>
            </w:r>
          </w:p>
        </w:tc>
        <w:tc>
          <w:tcPr>
            <w:tcW w:w="653"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w:t>
            </w:r>
            <w:r>
              <w:rPr>
                <w:rFonts w:cs="Times New Roman"/>
                <w:ker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w:t>
            </w:r>
            <w:r>
              <w:rPr>
                <w:rFonts w:cs="Times New Roman"/>
                <w:kern w:val="0"/>
                <w:sz w:val="20"/>
                <w:szCs w:val="20"/>
              </w:rPr>
              <w:t> </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w:t>
            </w:r>
            <w:r>
              <w:rPr>
                <w:rFonts w:cs="Times New Roman"/>
                <w:kern w:val="0"/>
                <w:sz w:val="20"/>
                <w:szCs w:val="20"/>
              </w:rPr>
              <w:t> </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w:t>
            </w:r>
            <w:r>
              <w:rPr>
                <w:rFonts w:cs="Times New Roman"/>
                <w:kern w:val="0"/>
                <w:sz w:val="20"/>
                <w:szCs w:val="20"/>
              </w:rPr>
              <w:t> </w:t>
            </w:r>
          </w:p>
        </w:tc>
        <w:tc>
          <w:tcPr>
            <w:tcW w:w="689"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79" w:lineRule="exact"/>
              <w:rPr>
                <w:rFonts w:ascii="宋体" w:cs="Times New Roman"/>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spacing w:line="579" w:lineRule="exact"/>
              <w:rPr>
                <w:rFonts w:ascii="宋体" w:cs="Times New Roman"/>
                <w:sz w:val="24"/>
                <w:szCs w:val="24"/>
              </w:rPr>
            </w:pPr>
          </w:p>
        </w:tc>
        <w:tc>
          <w:tcPr>
            <w:tcW w:w="2247"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left"/>
              <w:rPr>
                <w:rFonts w:cs="Times New Roman"/>
              </w:rPr>
            </w:pPr>
            <w:r>
              <w:rPr>
                <w:rFonts w:ascii="楷体" w:hAnsi="楷体" w:eastAsia="楷体" w:cs="楷体"/>
                <w:kern w:val="0"/>
                <w:sz w:val="20"/>
                <w:szCs w:val="20"/>
              </w:rPr>
              <w:t>2.</w:t>
            </w:r>
            <w:r>
              <w:rPr>
                <w:rFonts w:hint="eastAsia" w:ascii="楷体" w:hAnsi="楷体" w:eastAsia="楷体" w:cs="楷体"/>
                <w:kern w:val="0"/>
                <w:sz w:val="20"/>
                <w:szCs w:val="20"/>
              </w:rPr>
              <w:t>其他法律行政法规禁止公开</w:t>
            </w:r>
          </w:p>
        </w:tc>
        <w:tc>
          <w:tcPr>
            <w:tcW w:w="653"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w:t>
            </w:r>
            <w:r>
              <w:rPr>
                <w:rFonts w:cs="Times New Roman"/>
                <w:ker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w:t>
            </w:r>
            <w:r>
              <w:rPr>
                <w:rFonts w:cs="Times New Roman"/>
                <w:kern w:val="0"/>
                <w:sz w:val="20"/>
                <w:szCs w:val="20"/>
              </w:rPr>
              <w:t> </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w:t>
            </w:r>
            <w:r>
              <w:rPr>
                <w:rFonts w:cs="Times New Roman"/>
                <w:kern w:val="0"/>
                <w:sz w:val="20"/>
                <w:szCs w:val="20"/>
              </w:rPr>
              <w:t> </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w:t>
            </w:r>
            <w:r>
              <w:rPr>
                <w:rFonts w:cs="Times New Roman"/>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79" w:lineRule="exact"/>
              <w:rPr>
                <w:rFonts w:ascii="宋体" w:cs="Times New Roman"/>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spacing w:line="579" w:lineRule="exact"/>
              <w:rPr>
                <w:rFonts w:ascii="宋体" w:cs="Times New Roman"/>
                <w:sz w:val="24"/>
                <w:szCs w:val="24"/>
              </w:rPr>
            </w:pPr>
          </w:p>
        </w:tc>
        <w:tc>
          <w:tcPr>
            <w:tcW w:w="2247"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left"/>
              <w:rPr>
                <w:rFonts w:cs="Times New Roman"/>
              </w:rPr>
            </w:pPr>
            <w:r>
              <w:rPr>
                <w:rFonts w:ascii="楷体" w:hAnsi="楷体" w:eastAsia="楷体" w:cs="楷体"/>
                <w:kern w:val="0"/>
                <w:sz w:val="20"/>
                <w:szCs w:val="20"/>
              </w:rPr>
              <w:t>3.</w:t>
            </w:r>
            <w:r>
              <w:rPr>
                <w:rFonts w:hint="eastAsia" w:ascii="楷体" w:hAnsi="楷体" w:eastAsia="楷体" w:cs="楷体"/>
                <w:kern w:val="0"/>
                <w:sz w:val="20"/>
                <w:szCs w:val="20"/>
              </w:rPr>
              <w:t>危及“三安全一稳定”</w:t>
            </w:r>
          </w:p>
        </w:tc>
        <w:tc>
          <w:tcPr>
            <w:tcW w:w="653"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w:t>
            </w:r>
            <w:r>
              <w:rPr>
                <w:rFonts w:cs="Times New Roman"/>
                <w:ker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w:t>
            </w:r>
            <w:r>
              <w:rPr>
                <w:rFonts w:cs="Times New Roman"/>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79" w:lineRule="exact"/>
              <w:rPr>
                <w:rFonts w:ascii="宋体" w:cs="Times New Roman"/>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spacing w:line="579" w:lineRule="exact"/>
              <w:rPr>
                <w:rFonts w:ascii="宋体" w:cs="Times New Roman"/>
                <w:sz w:val="24"/>
                <w:szCs w:val="24"/>
              </w:rPr>
            </w:pPr>
          </w:p>
        </w:tc>
        <w:tc>
          <w:tcPr>
            <w:tcW w:w="2247"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left"/>
              <w:rPr>
                <w:rFonts w:cs="Times New Roman"/>
              </w:rPr>
            </w:pPr>
            <w:r>
              <w:rPr>
                <w:rFonts w:ascii="楷体" w:hAnsi="楷体" w:eastAsia="楷体" w:cs="楷体"/>
                <w:kern w:val="0"/>
                <w:sz w:val="20"/>
                <w:szCs w:val="20"/>
              </w:rPr>
              <w:t>4.</w:t>
            </w:r>
            <w:r>
              <w:rPr>
                <w:rFonts w:hint="eastAsia" w:ascii="楷体" w:hAnsi="楷体" w:eastAsia="楷体" w:cs="楷体"/>
                <w:kern w:val="0"/>
                <w:sz w:val="20"/>
                <w:szCs w:val="20"/>
              </w:rPr>
              <w:t>保护第三方合法权益</w:t>
            </w:r>
          </w:p>
        </w:tc>
        <w:tc>
          <w:tcPr>
            <w:tcW w:w="653"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w:t>
            </w:r>
            <w:r>
              <w:rPr>
                <w:rFonts w:cs="Times New Roman"/>
                <w:ker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default"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eastAsia="zh-CN"/>
              </w:rPr>
            </w:pPr>
            <w:r>
              <w:rPr>
                <w:rFonts w:hint="eastAsia" w:cs="Times New Roman"/>
                <w:kern w:val="0"/>
                <w:sz w:val="20"/>
                <w:szCs w:val="20"/>
                <w:lang w:val="en-US" w:eastAsia="zh-CN"/>
              </w:rPr>
              <w:t>/</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w:t>
            </w:r>
            <w:r>
              <w:rPr>
                <w:rFonts w:cs="Times New Roman"/>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383" w:hRule="atLeast"/>
          <w:jc w:val="center"/>
        </w:trPr>
        <w:tc>
          <w:tcPr>
            <w:tcW w:w="618" w:type="dxa"/>
            <w:vMerge w:val="continue"/>
            <w:tcBorders>
              <w:top w:val="nil"/>
              <w:left w:val="single" w:color="auto" w:sz="8" w:space="0"/>
              <w:bottom w:val="single" w:color="auto" w:sz="4" w:space="0"/>
              <w:right w:val="single" w:color="auto" w:sz="8" w:space="0"/>
            </w:tcBorders>
            <w:tcMar>
              <w:left w:w="108" w:type="dxa"/>
              <w:right w:w="108" w:type="dxa"/>
            </w:tcMar>
            <w:vAlign w:val="center"/>
          </w:tcPr>
          <w:p>
            <w:pPr>
              <w:spacing w:line="579" w:lineRule="exact"/>
              <w:rPr>
                <w:rFonts w:ascii="宋体" w:cs="Times New Roman"/>
                <w:sz w:val="24"/>
                <w:szCs w:val="24"/>
              </w:rPr>
            </w:pPr>
          </w:p>
        </w:tc>
        <w:tc>
          <w:tcPr>
            <w:tcW w:w="854" w:type="dxa"/>
            <w:vMerge w:val="continue"/>
            <w:tcBorders>
              <w:top w:val="nil"/>
              <w:left w:val="nil"/>
              <w:bottom w:val="single" w:color="auto" w:sz="4" w:space="0"/>
              <w:right w:val="single" w:color="auto" w:sz="8" w:space="0"/>
            </w:tcBorders>
            <w:tcMar>
              <w:left w:w="108" w:type="dxa"/>
              <w:right w:w="108" w:type="dxa"/>
            </w:tcMar>
            <w:vAlign w:val="center"/>
          </w:tcPr>
          <w:p>
            <w:pPr>
              <w:spacing w:line="579" w:lineRule="exact"/>
              <w:rPr>
                <w:rFonts w:ascii="宋体" w:cs="Times New Roman"/>
                <w:sz w:val="24"/>
                <w:szCs w:val="24"/>
              </w:rPr>
            </w:pPr>
          </w:p>
        </w:tc>
        <w:tc>
          <w:tcPr>
            <w:tcW w:w="2247" w:type="dxa"/>
            <w:tcBorders>
              <w:top w:val="nil"/>
              <w:left w:val="nil"/>
              <w:bottom w:val="single" w:color="auto" w:sz="4" w:space="0"/>
              <w:right w:val="single" w:color="auto" w:sz="8" w:space="0"/>
            </w:tcBorders>
            <w:tcMar>
              <w:left w:w="108" w:type="dxa"/>
              <w:right w:w="108" w:type="dxa"/>
            </w:tcMar>
            <w:vAlign w:val="center"/>
          </w:tcPr>
          <w:p>
            <w:pPr>
              <w:widowControl/>
              <w:spacing w:after="180" w:line="579" w:lineRule="exact"/>
              <w:jc w:val="left"/>
              <w:rPr>
                <w:rFonts w:cs="Times New Roman"/>
              </w:rPr>
            </w:pPr>
            <w:r>
              <w:rPr>
                <w:rFonts w:ascii="楷体" w:hAnsi="楷体" w:eastAsia="楷体" w:cs="楷体"/>
                <w:kern w:val="0"/>
                <w:sz w:val="20"/>
                <w:szCs w:val="20"/>
              </w:rPr>
              <w:t>5.</w:t>
            </w:r>
            <w:r>
              <w:rPr>
                <w:rFonts w:hint="eastAsia" w:ascii="楷体" w:hAnsi="楷体" w:eastAsia="楷体" w:cs="楷体"/>
                <w:kern w:val="0"/>
                <w:sz w:val="20"/>
                <w:szCs w:val="20"/>
              </w:rPr>
              <w:t>属于三类内部事务信息</w:t>
            </w:r>
          </w:p>
        </w:tc>
        <w:tc>
          <w:tcPr>
            <w:tcW w:w="653" w:type="dxa"/>
            <w:tcBorders>
              <w:top w:val="nil"/>
              <w:left w:val="nil"/>
              <w:bottom w:val="single" w:color="auto" w:sz="4"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755" w:type="dxa"/>
            <w:tcBorders>
              <w:top w:val="nil"/>
              <w:left w:val="nil"/>
              <w:bottom w:val="single" w:color="auto" w:sz="4"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755" w:type="dxa"/>
            <w:tcBorders>
              <w:top w:val="nil"/>
              <w:left w:val="nil"/>
              <w:bottom w:val="single" w:color="auto" w:sz="4"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w:t>
            </w:r>
            <w:r>
              <w:rPr>
                <w:rFonts w:cs="Times New Roman"/>
                <w:kern w:val="0"/>
                <w:sz w:val="20"/>
                <w:szCs w:val="20"/>
              </w:rPr>
              <w:t> </w:t>
            </w:r>
          </w:p>
        </w:tc>
        <w:tc>
          <w:tcPr>
            <w:tcW w:w="814" w:type="dxa"/>
            <w:tcBorders>
              <w:top w:val="nil"/>
              <w:left w:val="nil"/>
              <w:bottom w:val="single" w:color="auto" w:sz="4"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w:t>
            </w:r>
            <w:r>
              <w:rPr>
                <w:rFonts w:cs="Times New Roman"/>
                <w:kern w:val="0"/>
                <w:sz w:val="20"/>
                <w:szCs w:val="20"/>
              </w:rPr>
              <w:t> </w:t>
            </w:r>
          </w:p>
        </w:tc>
        <w:tc>
          <w:tcPr>
            <w:tcW w:w="974" w:type="dxa"/>
            <w:tcBorders>
              <w:top w:val="nil"/>
              <w:left w:val="nil"/>
              <w:bottom w:val="single" w:color="auto" w:sz="4"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w:t>
            </w:r>
            <w:r>
              <w:rPr>
                <w:rFonts w:cs="Times New Roman"/>
                <w:kern w:val="0"/>
                <w:sz w:val="20"/>
                <w:szCs w:val="20"/>
              </w:rPr>
              <w:t> </w:t>
            </w:r>
          </w:p>
        </w:tc>
        <w:tc>
          <w:tcPr>
            <w:tcW w:w="712" w:type="dxa"/>
            <w:tcBorders>
              <w:top w:val="nil"/>
              <w:left w:val="nil"/>
              <w:bottom w:val="single" w:color="auto" w:sz="4"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689" w:type="dxa"/>
            <w:tcBorders>
              <w:top w:val="nil"/>
              <w:left w:val="nil"/>
              <w:bottom w:val="single" w:color="auto" w:sz="4"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w:t>
            </w:r>
            <w:r>
              <w:rPr>
                <w:rFonts w:cs="Times New Roman"/>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4" w:space="0"/>
              <w:left w:val="single" w:color="auto" w:sz="8" w:space="0"/>
              <w:bottom w:val="single" w:color="auto" w:sz="4" w:space="0"/>
              <w:right w:val="single" w:color="auto" w:sz="8" w:space="0"/>
            </w:tcBorders>
            <w:tcMar>
              <w:left w:w="108" w:type="dxa"/>
              <w:right w:w="108" w:type="dxa"/>
            </w:tcMar>
            <w:vAlign w:val="center"/>
          </w:tcPr>
          <w:p>
            <w:pPr>
              <w:spacing w:line="579" w:lineRule="exact"/>
              <w:rPr>
                <w:rFonts w:ascii="宋体" w:cs="Times New Roman"/>
                <w:sz w:val="24"/>
                <w:szCs w:val="24"/>
              </w:rPr>
            </w:pPr>
          </w:p>
        </w:tc>
        <w:tc>
          <w:tcPr>
            <w:tcW w:w="854" w:type="dxa"/>
            <w:vMerge w:val="continue"/>
            <w:tcBorders>
              <w:top w:val="single" w:color="auto" w:sz="4" w:space="0"/>
              <w:left w:val="nil"/>
              <w:bottom w:val="single" w:color="auto" w:sz="4" w:space="0"/>
              <w:right w:val="single" w:color="auto" w:sz="8" w:space="0"/>
            </w:tcBorders>
            <w:tcMar>
              <w:left w:w="108" w:type="dxa"/>
              <w:right w:w="108" w:type="dxa"/>
            </w:tcMar>
            <w:vAlign w:val="center"/>
          </w:tcPr>
          <w:p>
            <w:pPr>
              <w:spacing w:line="579" w:lineRule="exact"/>
              <w:rPr>
                <w:rFonts w:ascii="宋体" w:cs="Times New Roman"/>
                <w:sz w:val="24"/>
                <w:szCs w:val="24"/>
              </w:rPr>
            </w:pPr>
          </w:p>
        </w:tc>
        <w:tc>
          <w:tcPr>
            <w:tcW w:w="2247" w:type="dxa"/>
            <w:tcBorders>
              <w:top w:val="single" w:color="auto" w:sz="4" w:space="0"/>
              <w:left w:val="nil"/>
              <w:bottom w:val="single" w:color="auto" w:sz="4" w:space="0"/>
              <w:right w:val="single" w:color="auto" w:sz="8" w:space="0"/>
            </w:tcBorders>
            <w:tcMar>
              <w:left w:w="108" w:type="dxa"/>
              <w:right w:w="108" w:type="dxa"/>
            </w:tcMar>
            <w:vAlign w:val="center"/>
          </w:tcPr>
          <w:p>
            <w:pPr>
              <w:widowControl/>
              <w:spacing w:after="180" w:line="579" w:lineRule="exact"/>
              <w:jc w:val="left"/>
              <w:rPr>
                <w:rFonts w:hint="eastAsia" w:eastAsia="楷体" w:cs="Times New Roman"/>
                <w:color w:val="auto"/>
                <w:lang w:val="en-US" w:eastAsia="zh-CN"/>
              </w:rPr>
            </w:pPr>
            <w:r>
              <w:rPr>
                <w:rFonts w:ascii="楷体" w:hAnsi="楷体" w:eastAsia="楷体" w:cs="楷体"/>
                <w:color w:val="auto"/>
                <w:kern w:val="0"/>
                <w:sz w:val="20"/>
                <w:szCs w:val="20"/>
              </w:rPr>
              <w:t>6.</w:t>
            </w:r>
            <w:r>
              <w:rPr>
                <w:rFonts w:hint="eastAsia" w:ascii="楷体" w:hAnsi="楷体" w:eastAsia="楷体" w:cs="楷体"/>
                <w:color w:val="auto"/>
                <w:kern w:val="0"/>
                <w:sz w:val="20"/>
                <w:szCs w:val="20"/>
              </w:rPr>
              <w:t>属于四类过程性信息</w:t>
            </w:r>
          </w:p>
        </w:tc>
        <w:tc>
          <w:tcPr>
            <w:tcW w:w="653" w:type="dxa"/>
            <w:tcBorders>
              <w:top w:val="single" w:color="auto" w:sz="4" w:space="0"/>
              <w:left w:val="nil"/>
              <w:bottom w:val="single" w:color="auto" w:sz="4"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color w:val="auto"/>
                <w:lang w:val="en-US" w:eastAsia="zh-CN"/>
              </w:rPr>
            </w:pPr>
            <w:r>
              <w:rPr>
                <w:rFonts w:cs="Times New Roman"/>
                <w:color w:val="auto"/>
                <w:kern w:val="0"/>
                <w:sz w:val="20"/>
                <w:szCs w:val="20"/>
              </w:rPr>
              <w:t> </w:t>
            </w:r>
            <w:r>
              <w:rPr>
                <w:rFonts w:hint="eastAsia" w:cs="Times New Roman"/>
                <w:color w:val="auto"/>
                <w:kern w:val="0"/>
                <w:sz w:val="20"/>
                <w:szCs w:val="20"/>
                <w:lang w:val="en-US" w:eastAsia="zh-CN"/>
              </w:rPr>
              <w:t>/</w:t>
            </w:r>
          </w:p>
        </w:tc>
        <w:tc>
          <w:tcPr>
            <w:tcW w:w="755" w:type="dxa"/>
            <w:tcBorders>
              <w:top w:val="single" w:color="auto" w:sz="4" w:space="0"/>
              <w:left w:val="nil"/>
              <w:bottom w:val="single" w:color="auto" w:sz="4"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color w:val="auto"/>
                <w:lang w:val="en-US" w:eastAsia="zh-CN"/>
              </w:rPr>
            </w:pPr>
            <w:r>
              <w:rPr>
                <w:rFonts w:cs="Times New Roman"/>
                <w:color w:val="auto"/>
                <w:kern w:val="0"/>
                <w:sz w:val="20"/>
                <w:szCs w:val="20"/>
              </w:rPr>
              <w:t> </w:t>
            </w:r>
            <w:r>
              <w:rPr>
                <w:rFonts w:hint="eastAsia" w:cs="Times New Roman"/>
                <w:color w:val="auto"/>
                <w:kern w:val="0"/>
                <w:sz w:val="20"/>
                <w:szCs w:val="20"/>
                <w:lang w:val="en-US" w:eastAsia="zh-CN"/>
              </w:rPr>
              <w:t>/</w:t>
            </w:r>
          </w:p>
        </w:tc>
        <w:tc>
          <w:tcPr>
            <w:tcW w:w="755" w:type="dxa"/>
            <w:tcBorders>
              <w:top w:val="single" w:color="auto" w:sz="4" w:space="0"/>
              <w:left w:val="nil"/>
              <w:bottom w:val="single" w:color="auto" w:sz="4" w:space="0"/>
              <w:right w:val="single" w:color="auto" w:sz="8" w:space="0"/>
            </w:tcBorders>
            <w:tcMar>
              <w:left w:w="108" w:type="dxa"/>
              <w:right w:w="108" w:type="dxa"/>
            </w:tcMar>
            <w:vAlign w:val="center"/>
          </w:tcPr>
          <w:p>
            <w:pPr>
              <w:widowControl/>
              <w:spacing w:after="180" w:line="579" w:lineRule="exact"/>
              <w:jc w:val="center"/>
              <w:rPr>
                <w:rFonts w:cs="Times New Roman"/>
                <w:color w:val="auto"/>
              </w:rPr>
            </w:pPr>
            <w:r>
              <w:rPr>
                <w:rFonts w:hint="eastAsia" w:cs="Times New Roman"/>
                <w:color w:val="auto"/>
                <w:kern w:val="0"/>
                <w:sz w:val="20"/>
                <w:szCs w:val="20"/>
                <w:lang w:val="en-US" w:eastAsia="zh-CN"/>
              </w:rPr>
              <w:t>/</w:t>
            </w:r>
            <w:r>
              <w:rPr>
                <w:rFonts w:cs="Times New Roman"/>
                <w:color w:val="auto"/>
                <w:kern w:val="0"/>
                <w:sz w:val="20"/>
                <w:szCs w:val="20"/>
              </w:rPr>
              <w:t> </w:t>
            </w:r>
          </w:p>
        </w:tc>
        <w:tc>
          <w:tcPr>
            <w:tcW w:w="814" w:type="dxa"/>
            <w:tcBorders>
              <w:top w:val="single" w:color="auto" w:sz="4" w:space="0"/>
              <w:left w:val="nil"/>
              <w:bottom w:val="single" w:color="auto" w:sz="4"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color w:val="auto"/>
                <w:lang w:val="en-US" w:eastAsia="zh-CN"/>
              </w:rPr>
            </w:pPr>
            <w:r>
              <w:rPr>
                <w:rFonts w:cs="Times New Roman"/>
                <w:color w:val="auto"/>
                <w:kern w:val="0"/>
                <w:sz w:val="20"/>
                <w:szCs w:val="20"/>
              </w:rPr>
              <w:t> </w:t>
            </w:r>
            <w:r>
              <w:rPr>
                <w:rFonts w:hint="eastAsia" w:cs="Times New Roman"/>
                <w:color w:val="auto"/>
                <w:kern w:val="0"/>
                <w:sz w:val="20"/>
                <w:szCs w:val="20"/>
                <w:lang w:val="en-US" w:eastAsia="zh-CN"/>
              </w:rPr>
              <w:t>/</w:t>
            </w:r>
          </w:p>
        </w:tc>
        <w:tc>
          <w:tcPr>
            <w:tcW w:w="974" w:type="dxa"/>
            <w:tcBorders>
              <w:top w:val="single" w:color="auto" w:sz="4" w:space="0"/>
              <w:left w:val="nil"/>
              <w:bottom w:val="single" w:color="auto" w:sz="4"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color w:val="auto"/>
                <w:lang w:val="en-US" w:eastAsia="zh-CN"/>
              </w:rPr>
            </w:pPr>
            <w:r>
              <w:rPr>
                <w:rFonts w:cs="Times New Roman"/>
                <w:color w:val="auto"/>
                <w:kern w:val="0"/>
                <w:sz w:val="20"/>
                <w:szCs w:val="20"/>
              </w:rPr>
              <w:t> </w:t>
            </w:r>
            <w:r>
              <w:rPr>
                <w:rFonts w:hint="eastAsia" w:cs="Times New Roman"/>
                <w:color w:val="auto"/>
                <w:kern w:val="0"/>
                <w:sz w:val="20"/>
                <w:szCs w:val="20"/>
                <w:lang w:val="en-US" w:eastAsia="zh-CN"/>
              </w:rPr>
              <w:t>/</w:t>
            </w:r>
          </w:p>
        </w:tc>
        <w:tc>
          <w:tcPr>
            <w:tcW w:w="712" w:type="dxa"/>
            <w:tcBorders>
              <w:top w:val="single" w:color="auto" w:sz="4" w:space="0"/>
              <w:left w:val="nil"/>
              <w:bottom w:val="single" w:color="auto" w:sz="4"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color w:val="auto"/>
                <w:lang w:val="en-US" w:eastAsia="zh-CN"/>
              </w:rPr>
            </w:pPr>
            <w:r>
              <w:rPr>
                <w:rFonts w:cs="Times New Roman"/>
                <w:color w:val="auto"/>
                <w:kern w:val="0"/>
                <w:sz w:val="20"/>
                <w:szCs w:val="20"/>
              </w:rPr>
              <w:t> </w:t>
            </w:r>
            <w:r>
              <w:rPr>
                <w:rFonts w:hint="eastAsia" w:cs="Times New Roman"/>
                <w:color w:val="auto"/>
                <w:kern w:val="0"/>
                <w:sz w:val="20"/>
                <w:szCs w:val="20"/>
                <w:lang w:val="en-US" w:eastAsia="zh-CN"/>
              </w:rPr>
              <w:t>/</w:t>
            </w:r>
          </w:p>
        </w:tc>
        <w:tc>
          <w:tcPr>
            <w:tcW w:w="689" w:type="dxa"/>
            <w:tcBorders>
              <w:top w:val="single" w:color="auto" w:sz="4" w:space="0"/>
              <w:left w:val="nil"/>
              <w:bottom w:val="single" w:color="auto" w:sz="4"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color w:val="auto"/>
                <w:lang w:val="en-US" w:eastAsia="zh-CN"/>
              </w:rPr>
            </w:pPr>
            <w:r>
              <w:rPr>
                <w:rFonts w:cs="Times New Roman"/>
                <w:color w:val="auto"/>
                <w:kern w:val="0"/>
                <w:sz w:val="20"/>
                <w:szCs w:val="20"/>
              </w:rPr>
              <w:t> </w:t>
            </w:r>
            <w:r>
              <w:rPr>
                <w:rFonts w:hint="eastAsia" w:cs="Times New Roman"/>
                <w:color w:val="auto"/>
                <w:kern w:val="0"/>
                <w:sz w:val="20"/>
                <w:szCs w:val="20"/>
                <w:lang w:val="en-US"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4" w:space="0"/>
              <w:left w:val="single" w:color="auto" w:sz="8" w:space="0"/>
              <w:bottom w:val="single" w:color="auto" w:sz="8" w:space="0"/>
              <w:right w:val="single" w:color="auto" w:sz="8" w:space="0"/>
            </w:tcBorders>
            <w:tcMar>
              <w:left w:w="108" w:type="dxa"/>
              <w:right w:w="108" w:type="dxa"/>
            </w:tcMar>
            <w:vAlign w:val="center"/>
          </w:tcPr>
          <w:p>
            <w:pPr>
              <w:spacing w:line="579" w:lineRule="exact"/>
              <w:rPr>
                <w:rFonts w:ascii="宋体" w:cs="Times New Roman"/>
                <w:sz w:val="24"/>
                <w:szCs w:val="24"/>
              </w:rPr>
            </w:pPr>
          </w:p>
        </w:tc>
        <w:tc>
          <w:tcPr>
            <w:tcW w:w="854" w:type="dxa"/>
            <w:vMerge w:val="continue"/>
            <w:tcBorders>
              <w:top w:val="single" w:color="auto" w:sz="4" w:space="0"/>
              <w:left w:val="nil"/>
              <w:bottom w:val="single" w:color="auto" w:sz="8" w:space="0"/>
              <w:right w:val="single" w:color="auto" w:sz="8" w:space="0"/>
            </w:tcBorders>
            <w:tcMar>
              <w:left w:w="108" w:type="dxa"/>
              <w:right w:w="108" w:type="dxa"/>
            </w:tcMar>
            <w:vAlign w:val="center"/>
          </w:tcPr>
          <w:p>
            <w:pPr>
              <w:spacing w:line="579" w:lineRule="exact"/>
              <w:rPr>
                <w:rFonts w:ascii="宋体" w:cs="Times New Roman"/>
                <w:sz w:val="24"/>
                <w:szCs w:val="24"/>
              </w:rPr>
            </w:pPr>
          </w:p>
        </w:tc>
        <w:tc>
          <w:tcPr>
            <w:tcW w:w="2247" w:type="dxa"/>
            <w:tcBorders>
              <w:top w:val="single" w:color="auto" w:sz="4" w:space="0"/>
              <w:left w:val="nil"/>
              <w:bottom w:val="single" w:color="auto" w:sz="8" w:space="0"/>
              <w:right w:val="single" w:color="auto" w:sz="8" w:space="0"/>
            </w:tcBorders>
            <w:tcMar>
              <w:left w:w="108" w:type="dxa"/>
              <w:right w:w="108" w:type="dxa"/>
            </w:tcMar>
            <w:vAlign w:val="center"/>
          </w:tcPr>
          <w:p>
            <w:pPr>
              <w:widowControl/>
              <w:spacing w:after="180" w:line="579" w:lineRule="exact"/>
              <w:jc w:val="left"/>
              <w:rPr>
                <w:rFonts w:cs="Times New Roman"/>
              </w:rPr>
            </w:pPr>
            <w:r>
              <w:rPr>
                <w:rFonts w:ascii="楷体" w:hAnsi="楷体" w:eastAsia="楷体" w:cs="楷体"/>
                <w:kern w:val="0"/>
                <w:sz w:val="20"/>
                <w:szCs w:val="20"/>
              </w:rPr>
              <w:t>7.</w:t>
            </w:r>
            <w:r>
              <w:rPr>
                <w:rFonts w:hint="eastAsia" w:ascii="楷体" w:hAnsi="楷体" w:eastAsia="楷体" w:cs="楷体"/>
                <w:kern w:val="0"/>
                <w:sz w:val="20"/>
                <w:szCs w:val="20"/>
              </w:rPr>
              <w:t>属于行政执法案卷</w:t>
            </w:r>
          </w:p>
        </w:tc>
        <w:tc>
          <w:tcPr>
            <w:tcW w:w="653" w:type="dxa"/>
            <w:tcBorders>
              <w:top w:val="single" w:color="auto" w:sz="4" w:space="0"/>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w:t>
            </w:r>
            <w:r>
              <w:rPr>
                <w:rFonts w:cs="Times New Roman"/>
                <w:kern w:val="0"/>
                <w:sz w:val="20"/>
                <w:szCs w:val="20"/>
              </w:rPr>
              <w:t> </w:t>
            </w:r>
          </w:p>
        </w:tc>
        <w:tc>
          <w:tcPr>
            <w:tcW w:w="755" w:type="dxa"/>
            <w:tcBorders>
              <w:top w:val="single" w:color="auto" w:sz="4" w:space="0"/>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w:t>
            </w:r>
            <w:r>
              <w:rPr>
                <w:rFonts w:cs="Times New Roman"/>
                <w:kern w:val="0"/>
                <w:sz w:val="20"/>
                <w:szCs w:val="20"/>
              </w:rPr>
              <w:t> </w:t>
            </w:r>
          </w:p>
        </w:tc>
        <w:tc>
          <w:tcPr>
            <w:tcW w:w="755" w:type="dxa"/>
            <w:tcBorders>
              <w:top w:val="single" w:color="auto" w:sz="4" w:space="0"/>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814" w:type="dxa"/>
            <w:tcBorders>
              <w:top w:val="single" w:color="auto" w:sz="4" w:space="0"/>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974" w:type="dxa"/>
            <w:tcBorders>
              <w:top w:val="single" w:color="auto" w:sz="4" w:space="0"/>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w:t>
            </w:r>
            <w:r>
              <w:rPr>
                <w:rFonts w:cs="Times New Roman"/>
                <w:kern w:val="0"/>
                <w:sz w:val="20"/>
                <w:szCs w:val="20"/>
              </w:rPr>
              <w:t> </w:t>
            </w:r>
          </w:p>
        </w:tc>
        <w:tc>
          <w:tcPr>
            <w:tcW w:w="712" w:type="dxa"/>
            <w:tcBorders>
              <w:top w:val="single" w:color="auto" w:sz="4" w:space="0"/>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689" w:type="dxa"/>
            <w:tcBorders>
              <w:top w:val="single" w:color="auto" w:sz="4" w:space="0"/>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w:t>
            </w:r>
            <w:r>
              <w:rPr>
                <w:rFonts w:cs="Times New Roman"/>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79" w:lineRule="exact"/>
              <w:rPr>
                <w:rFonts w:ascii="宋体" w:cs="Times New Roman"/>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spacing w:line="579" w:lineRule="exact"/>
              <w:rPr>
                <w:rFonts w:ascii="宋体" w:cs="Times New Roman"/>
                <w:sz w:val="24"/>
                <w:szCs w:val="24"/>
              </w:rPr>
            </w:pPr>
          </w:p>
        </w:tc>
        <w:tc>
          <w:tcPr>
            <w:tcW w:w="2247"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left"/>
              <w:rPr>
                <w:rFonts w:cs="Times New Roman"/>
              </w:rPr>
            </w:pPr>
            <w:r>
              <w:rPr>
                <w:rFonts w:ascii="楷体" w:hAnsi="楷体" w:eastAsia="楷体" w:cs="楷体"/>
                <w:kern w:val="0"/>
                <w:sz w:val="20"/>
                <w:szCs w:val="20"/>
              </w:rPr>
              <w:t>8.</w:t>
            </w:r>
            <w:r>
              <w:rPr>
                <w:rFonts w:hint="eastAsia" w:ascii="楷体" w:hAnsi="楷体" w:eastAsia="楷体" w:cs="楷体"/>
                <w:kern w:val="0"/>
                <w:sz w:val="20"/>
                <w:szCs w:val="20"/>
              </w:rPr>
              <w:t>属于行政查询事项</w:t>
            </w:r>
          </w:p>
        </w:tc>
        <w:tc>
          <w:tcPr>
            <w:tcW w:w="653"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eastAsia="zh-CN"/>
              </w:rPr>
            </w:pPr>
            <w:r>
              <w:rPr>
                <w:rFonts w:hint="eastAsia" w:cs="Times New Roman"/>
                <w:kern w:val="0"/>
                <w:sz w:val="20"/>
                <w:szCs w:val="20"/>
                <w:lang w:val="en-US" w:eastAsia="zh-CN"/>
              </w:rPr>
              <w:t>/</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eastAsia="zh-CN"/>
              </w:rPr>
            </w:pPr>
            <w:r>
              <w:rPr>
                <w:rFonts w:hint="eastAsia" w:cs="Times New Roman"/>
                <w:kern w:val="0"/>
                <w:sz w:val="20"/>
                <w:szCs w:val="20"/>
                <w:lang w:val="en-US"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79" w:lineRule="exact"/>
              <w:rPr>
                <w:rFonts w:ascii="宋体" w:cs="Times New Roman"/>
                <w:sz w:val="24"/>
                <w:szCs w:val="24"/>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left"/>
              <w:rPr>
                <w:rFonts w:cs="Times New Roman"/>
              </w:rPr>
            </w:pPr>
            <w:r>
              <w:rPr>
                <w:rFonts w:hint="eastAsia" w:ascii="楷体" w:hAnsi="楷体" w:eastAsia="楷体" w:cs="楷体"/>
                <w:kern w:val="0"/>
                <w:sz w:val="20"/>
                <w:szCs w:val="20"/>
              </w:rPr>
              <w:t>（四）无法提供</w:t>
            </w:r>
          </w:p>
        </w:tc>
        <w:tc>
          <w:tcPr>
            <w:tcW w:w="2247"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left"/>
              <w:rPr>
                <w:rFonts w:cs="Times New Roman"/>
              </w:rPr>
            </w:pPr>
            <w:r>
              <w:rPr>
                <w:rFonts w:ascii="楷体" w:hAnsi="楷体" w:eastAsia="楷体" w:cs="楷体"/>
                <w:kern w:val="0"/>
                <w:sz w:val="20"/>
                <w:szCs w:val="20"/>
              </w:rPr>
              <w:t>1.</w:t>
            </w:r>
            <w:r>
              <w:rPr>
                <w:rFonts w:hint="eastAsia" w:ascii="楷体" w:hAnsi="楷体" w:eastAsia="楷体" w:cs="楷体"/>
                <w:kern w:val="0"/>
                <w:sz w:val="20"/>
                <w:szCs w:val="20"/>
              </w:rPr>
              <w:t>本机关不掌握相关政府信息</w:t>
            </w:r>
          </w:p>
        </w:tc>
        <w:tc>
          <w:tcPr>
            <w:tcW w:w="653"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w:t>
            </w:r>
            <w:r>
              <w:rPr>
                <w:rFonts w:cs="Times New Roman"/>
                <w:ker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w:t>
            </w:r>
            <w:r>
              <w:rPr>
                <w:rFonts w:cs="Times New Roman"/>
                <w:kern w:val="0"/>
                <w:sz w:val="20"/>
                <w:szCs w:val="20"/>
              </w:rPr>
              <w:t> </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w:t>
            </w:r>
            <w:r>
              <w:rPr>
                <w:rFonts w:cs="Times New Roman"/>
                <w:kern w:val="0"/>
                <w:sz w:val="20"/>
                <w:szCs w:val="20"/>
              </w:rPr>
              <w:t> </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w:t>
            </w:r>
            <w:r>
              <w:rPr>
                <w:rFonts w:cs="Times New Roman"/>
                <w:kern w:val="0"/>
                <w:sz w:val="20"/>
                <w:szCs w:val="20"/>
              </w:rPr>
              <w:t> </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w:t>
            </w:r>
            <w:r>
              <w:rPr>
                <w:rFonts w:cs="Times New Roman"/>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79" w:lineRule="exact"/>
              <w:rPr>
                <w:rFonts w:ascii="宋体" w:cs="Times New Roman"/>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spacing w:line="579" w:lineRule="exact"/>
              <w:rPr>
                <w:rFonts w:ascii="宋体" w:cs="Times New Roman"/>
                <w:sz w:val="24"/>
                <w:szCs w:val="24"/>
              </w:rPr>
            </w:pPr>
          </w:p>
        </w:tc>
        <w:tc>
          <w:tcPr>
            <w:tcW w:w="2247"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left"/>
              <w:rPr>
                <w:rFonts w:cs="Times New Roman"/>
              </w:rPr>
            </w:pPr>
            <w:r>
              <w:rPr>
                <w:rFonts w:ascii="楷体" w:hAnsi="楷体" w:eastAsia="楷体" w:cs="楷体"/>
                <w:kern w:val="0"/>
                <w:sz w:val="20"/>
                <w:szCs w:val="20"/>
              </w:rPr>
              <w:t>2.</w:t>
            </w:r>
            <w:r>
              <w:rPr>
                <w:rFonts w:hint="eastAsia" w:ascii="楷体" w:hAnsi="楷体" w:eastAsia="楷体" w:cs="楷体"/>
                <w:kern w:val="0"/>
                <w:sz w:val="20"/>
                <w:szCs w:val="20"/>
              </w:rPr>
              <w:t>没有现成信息需要另行制作</w:t>
            </w:r>
          </w:p>
        </w:tc>
        <w:tc>
          <w:tcPr>
            <w:tcW w:w="653"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w:t>
            </w:r>
            <w:r>
              <w:rPr>
                <w:rFonts w:cs="Times New Roman"/>
                <w:kern w:val="0"/>
                <w:sz w:val="20"/>
                <w:szCs w:val="20"/>
              </w:rPr>
              <w:t> </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w:t>
            </w:r>
            <w:r>
              <w:rPr>
                <w:rFonts w:cs="Times New Roman"/>
                <w:kern w:val="0"/>
                <w:sz w:val="20"/>
                <w:szCs w:val="20"/>
              </w:rPr>
              <w:t> </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w:t>
            </w:r>
            <w:r>
              <w:rPr>
                <w:rFonts w:cs="Times New Roman"/>
                <w:kern w:val="0"/>
                <w:sz w:val="20"/>
                <w:szCs w:val="20"/>
              </w:rPr>
              <w:t> </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79" w:lineRule="exact"/>
              <w:rPr>
                <w:rFonts w:ascii="宋体" w:cs="Times New Roman"/>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spacing w:line="579" w:lineRule="exact"/>
              <w:rPr>
                <w:rFonts w:ascii="宋体" w:cs="Times New Roman"/>
                <w:sz w:val="24"/>
                <w:szCs w:val="24"/>
              </w:rPr>
            </w:pPr>
          </w:p>
        </w:tc>
        <w:tc>
          <w:tcPr>
            <w:tcW w:w="2247"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left"/>
              <w:rPr>
                <w:rFonts w:cs="Times New Roman"/>
              </w:rPr>
            </w:pPr>
            <w:r>
              <w:rPr>
                <w:rFonts w:ascii="楷体" w:hAnsi="楷体" w:eastAsia="楷体" w:cs="楷体"/>
                <w:kern w:val="0"/>
                <w:sz w:val="20"/>
                <w:szCs w:val="20"/>
              </w:rPr>
              <w:t>3.</w:t>
            </w:r>
            <w:r>
              <w:rPr>
                <w:rFonts w:hint="eastAsia" w:ascii="楷体" w:hAnsi="楷体" w:eastAsia="楷体" w:cs="楷体"/>
                <w:kern w:val="0"/>
                <w:sz w:val="20"/>
                <w:szCs w:val="20"/>
              </w:rPr>
              <w:t>补正后申请内容仍不明确</w:t>
            </w:r>
          </w:p>
        </w:tc>
        <w:tc>
          <w:tcPr>
            <w:tcW w:w="653"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w:t>
            </w:r>
            <w:r>
              <w:rPr>
                <w:rFonts w:cs="Times New Roman"/>
                <w:ker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w:t>
            </w:r>
            <w:r>
              <w:rPr>
                <w:rFonts w:cs="Times New Roman"/>
                <w:ker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w:t>
            </w:r>
            <w:r>
              <w:rPr>
                <w:rFonts w:cs="Times New Roman"/>
                <w:kern w:val="0"/>
                <w:sz w:val="20"/>
                <w:szCs w:val="20"/>
              </w:rPr>
              <w:t> </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w:t>
            </w:r>
            <w:r>
              <w:rPr>
                <w:rFonts w:cs="Times New Roman"/>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79" w:lineRule="exact"/>
              <w:rPr>
                <w:rFonts w:ascii="宋体" w:cs="Times New Roman"/>
                <w:sz w:val="24"/>
                <w:szCs w:val="24"/>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left"/>
              <w:rPr>
                <w:rFonts w:cs="Times New Roman"/>
              </w:rPr>
            </w:pPr>
            <w:r>
              <w:rPr>
                <w:rFonts w:hint="eastAsia" w:ascii="楷体" w:hAnsi="楷体" w:eastAsia="楷体" w:cs="楷体"/>
                <w:kern w:val="0"/>
                <w:sz w:val="20"/>
                <w:szCs w:val="20"/>
              </w:rPr>
              <w:t>（五）不予处理</w:t>
            </w:r>
          </w:p>
        </w:tc>
        <w:tc>
          <w:tcPr>
            <w:tcW w:w="2247"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left"/>
              <w:rPr>
                <w:rFonts w:cs="Times New Roman"/>
              </w:rPr>
            </w:pPr>
            <w:r>
              <w:rPr>
                <w:rFonts w:ascii="楷体" w:hAnsi="楷体" w:eastAsia="楷体" w:cs="楷体"/>
                <w:kern w:val="0"/>
                <w:sz w:val="20"/>
                <w:szCs w:val="20"/>
              </w:rPr>
              <w:t>1.</w:t>
            </w:r>
            <w:r>
              <w:rPr>
                <w:rFonts w:hint="eastAsia" w:ascii="楷体" w:hAnsi="楷体" w:eastAsia="楷体" w:cs="楷体"/>
                <w:kern w:val="0"/>
                <w:sz w:val="20"/>
                <w:szCs w:val="20"/>
              </w:rPr>
              <w:t>信访举报投诉类申请</w:t>
            </w:r>
          </w:p>
        </w:tc>
        <w:tc>
          <w:tcPr>
            <w:tcW w:w="653"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w:t>
            </w:r>
            <w:r>
              <w:rPr>
                <w:rFonts w:cs="Times New Roman"/>
                <w:kern w:val="0"/>
                <w:sz w:val="20"/>
                <w:szCs w:val="20"/>
              </w:rPr>
              <w:t> </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w:t>
            </w:r>
            <w:r>
              <w:rPr>
                <w:rFonts w:cs="Times New Roman"/>
                <w:kern w:val="0"/>
                <w:sz w:val="20"/>
                <w:szCs w:val="20"/>
              </w:rPr>
              <w:t> </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w:t>
            </w:r>
            <w:r>
              <w:rPr>
                <w:rFonts w:cs="Times New Roman"/>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79" w:lineRule="exact"/>
              <w:rPr>
                <w:rFonts w:ascii="宋体" w:cs="Times New Roman"/>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spacing w:line="579" w:lineRule="exact"/>
              <w:rPr>
                <w:rFonts w:ascii="宋体" w:cs="Times New Roman"/>
                <w:sz w:val="24"/>
                <w:szCs w:val="24"/>
              </w:rPr>
            </w:pPr>
          </w:p>
        </w:tc>
        <w:tc>
          <w:tcPr>
            <w:tcW w:w="2247"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left"/>
              <w:rPr>
                <w:rFonts w:cs="Times New Roman"/>
              </w:rPr>
            </w:pPr>
            <w:r>
              <w:rPr>
                <w:rFonts w:ascii="楷体" w:hAnsi="楷体" w:eastAsia="楷体" w:cs="楷体"/>
                <w:kern w:val="0"/>
                <w:sz w:val="20"/>
                <w:szCs w:val="20"/>
              </w:rPr>
              <w:t>2.</w:t>
            </w:r>
            <w:r>
              <w:rPr>
                <w:rFonts w:hint="eastAsia" w:ascii="楷体" w:hAnsi="楷体" w:eastAsia="楷体" w:cs="楷体"/>
                <w:kern w:val="0"/>
                <w:sz w:val="20"/>
                <w:szCs w:val="20"/>
              </w:rPr>
              <w:t>重复申请</w:t>
            </w:r>
          </w:p>
        </w:tc>
        <w:tc>
          <w:tcPr>
            <w:tcW w:w="653"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w:t>
            </w:r>
            <w:r>
              <w:rPr>
                <w:rFonts w:cs="Times New Roman"/>
                <w:ker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w:t>
            </w:r>
            <w:r>
              <w:rPr>
                <w:rFonts w:cs="Times New Roman"/>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79" w:lineRule="exact"/>
              <w:rPr>
                <w:rFonts w:ascii="宋体" w:cs="Times New Roman"/>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spacing w:line="579" w:lineRule="exact"/>
              <w:rPr>
                <w:rFonts w:ascii="宋体" w:cs="Times New Roman"/>
                <w:sz w:val="24"/>
                <w:szCs w:val="24"/>
              </w:rPr>
            </w:pPr>
          </w:p>
        </w:tc>
        <w:tc>
          <w:tcPr>
            <w:tcW w:w="2247"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left"/>
              <w:rPr>
                <w:rFonts w:cs="Times New Roman"/>
              </w:rPr>
            </w:pPr>
            <w:r>
              <w:rPr>
                <w:rFonts w:ascii="楷体" w:hAnsi="楷体" w:eastAsia="楷体" w:cs="楷体"/>
                <w:kern w:val="0"/>
                <w:sz w:val="20"/>
                <w:szCs w:val="20"/>
              </w:rPr>
              <w:t>3.</w:t>
            </w:r>
            <w:r>
              <w:rPr>
                <w:rFonts w:hint="eastAsia" w:ascii="楷体" w:hAnsi="楷体" w:eastAsia="楷体" w:cs="楷体"/>
                <w:kern w:val="0"/>
                <w:sz w:val="20"/>
                <w:szCs w:val="20"/>
              </w:rPr>
              <w:t>要求提供公开出版物</w:t>
            </w:r>
          </w:p>
        </w:tc>
        <w:tc>
          <w:tcPr>
            <w:tcW w:w="653"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w:t>
            </w:r>
            <w:r>
              <w:rPr>
                <w:rFonts w:cs="Times New Roman"/>
                <w:kern w:val="0"/>
                <w:sz w:val="20"/>
                <w:szCs w:val="20"/>
              </w:rPr>
              <w:t> </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w:t>
            </w:r>
            <w:r>
              <w:rPr>
                <w:rFonts w:cs="Times New Roman"/>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79" w:lineRule="exact"/>
              <w:rPr>
                <w:rFonts w:ascii="宋体" w:cs="Times New Roman"/>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spacing w:line="579" w:lineRule="exact"/>
              <w:rPr>
                <w:rFonts w:ascii="宋体" w:cs="Times New Roman"/>
                <w:sz w:val="24"/>
                <w:szCs w:val="24"/>
              </w:rPr>
            </w:pPr>
          </w:p>
        </w:tc>
        <w:tc>
          <w:tcPr>
            <w:tcW w:w="2247"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left"/>
              <w:rPr>
                <w:rFonts w:cs="Times New Roman"/>
              </w:rPr>
            </w:pPr>
            <w:r>
              <w:rPr>
                <w:rFonts w:ascii="楷体" w:hAnsi="楷体" w:eastAsia="楷体" w:cs="楷体"/>
                <w:kern w:val="0"/>
                <w:sz w:val="20"/>
                <w:szCs w:val="20"/>
              </w:rPr>
              <w:t>4.</w:t>
            </w:r>
            <w:r>
              <w:rPr>
                <w:rFonts w:hint="eastAsia" w:ascii="楷体" w:hAnsi="楷体" w:eastAsia="楷体" w:cs="楷体"/>
                <w:kern w:val="0"/>
                <w:sz w:val="20"/>
                <w:szCs w:val="20"/>
              </w:rPr>
              <w:t>无正当理由大量反复申请</w:t>
            </w:r>
          </w:p>
        </w:tc>
        <w:tc>
          <w:tcPr>
            <w:tcW w:w="653"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default"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eastAsia="zh-CN"/>
              </w:rPr>
            </w:pPr>
            <w:r>
              <w:rPr>
                <w:rFonts w:hint="eastAsia" w:cs="Times New Roman"/>
                <w:kern w:val="0"/>
                <w:sz w:val="20"/>
                <w:szCs w:val="20"/>
                <w:lang w:val="en-US" w:eastAsia="zh-CN"/>
              </w:rPr>
              <w:t>/</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w:t>
            </w:r>
            <w:r>
              <w:rPr>
                <w:rFonts w:cs="Times New Roman"/>
                <w:kern w:val="0"/>
                <w:sz w:val="20"/>
                <w:szCs w:val="20"/>
              </w:rPr>
              <w:t> </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w:t>
            </w:r>
            <w:r>
              <w:rPr>
                <w:rFonts w:cs="Times New Roman"/>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79" w:lineRule="exact"/>
              <w:rPr>
                <w:rFonts w:ascii="宋体" w:cs="Times New Roman"/>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spacing w:line="579" w:lineRule="exact"/>
              <w:rPr>
                <w:rFonts w:ascii="宋体" w:cs="Times New Roman"/>
                <w:sz w:val="24"/>
                <w:szCs w:val="24"/>
              </w:rPr>
            </w:pPr>
          </w:p>
        </w:tc>
        <w:tc>
          <w:tcPr>
            <w:tcW w:w="2247"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left"/>
              <w:rPr>
                <w:rFonts w:cs="Times New Roman"/>
              </w:rPr>
            </w:pPr>
            <w:r>
              <w:rPr>
                <w:rFonts w:ascii="楷体" w:hAnsi="楷体" w:eastAsia="楷体" w:cs="楷体"/>
                <w:kern w:val="0"/>
                <w:sz w:val="20"/>
                <w:szCs w:val="20"/>
              </w:rPr>
              <w:t>5.</w:t>
            </w:r>
            <w:r>
              <w:rPr>
                <w:rFonts w:hint="eastAsia" w:ascii="楷体" w:hAnsi="楷体" w:eastAsia="楷体" w:cs="楷体"/>
                <w:kern w:val="0"/>
                <w:sz w:val="20"/>
                <w:szCs w:val="20"/>
              </w:rPr>
              <w:t>要求行政机关确认或重新出具已获取信息</w:t>
            </w:r>
          </w:p>
        </w:tc>
        <w:tc>
          <w:tcPr>
            <w:tcW w:w="653"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w:t>
            </w:r>
            <w:r>
              <w:rPr>
                <w:rFonts w:cs="Times New Roman"/>
                <w:ker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w:t>
            </w:r>
            <w:r>
              <w:rPr>
                <w:rFonts w:cs="Times New Roman"/>
                <w:ker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w:t>
            </w:r>
            <w:r>
              <w:rPr>
                <w:rFonts w:cs="Times New Roman"/>
                <w:kern w:val="0"/>
                <w:sz w:val="20"/>
                <w:szCs w:val="20"/>
              </w:rPr>
              <w:t> </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w:t>
            </w:r>
            <w:r>
              <w:rPr>
                <w:rFonts w:cs="Times New Roman"/>
                <w:kern w:val="0"/>
                <w:sz w:val="20"/>
                <w:szCs w:val="20"/>
              </w:rPr>
              <w:t> </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w:t>
            </w:r>
            <w:r>
              <w:rPr>
                <w:rFonts w:cs="Times New Roman"/>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79" w:lineRule="exact"/>
              <w:rPr>
                <w:rFonts w:ascii="宋体" w:cs="Times New Roman"/>
                <w:sz w:val="24"/>
                <w:szCs w:val="24"/>
              </w:rPr>
            </w:pPr>
          </w:p>
        </w:tc>
        <w:tc>
          <w:tcPr>
            <w:tcW w:w="310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left"/>
              <w:rPr>
                <w:rFonts w:cs="Times New Roman"/>
              </w:rPr>
            </w:pPr>
            <w:r>
              <w:rPr>
                <w:rFonts w:hint="eastAsia" w:ascii="楷体" w:hAnsi="楷体" w:eastAsia="楷体" w:cs="楷体"/>
                <w:kern w:val="0"/>
                <w:sz w:val="20"/>
                <w:szCs w:val="20"/>
              </w:rPr>
              <w:t>（六）其他处理</w:t>
            </w:r>
          </w:p>
        </w:tc>
        <w:tc>
          <w:tcPr>
            <w:tcW w:w="653"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w:t>
            </w:r>
            <w:r>
              <w:rPr>
                <w:rFonts w:cs="Times New Roman"/>
                <w:kern w:val="0"/>
                <w:sz w:val="20"/>
                <w:szCs w:val="20"/>
              </w:rPr>
              <w:t> </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w:t>
            </w:r>
            <w:r>
              <w:rPr>
                <w:rFonts w:cs="Times New Roman"/>
                <w:kern w:val="0"/>
                <w:sz w:val="20"/>
                <w:szCs w:val="20"/>
              </w:rPr>
              <w:t> </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w:t>
            </w:r>
            <w:r>
              <w:rPr>
                <w:rFonts w:cs="Times New Roman"/>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79" w:lineRule="exact"/>
              <w:rPr>
                <w:rFonts w:ascii="宋体" w:cs="Times New Roman"/>
                <w:sz w:val="24"/>
                <w:szCs w:val="24"/>
              </w:rPr>
            </w:pPr>
          </w:p>
        </w:tc>
        <w:tc>
          <w:tcPr>
            <w:tcW w:w="310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left"/>
              <w:rPr>
                <w:rFonts w:cs="Times New Roman"/>
              </w:rPr>
            </w:pPr>
            <w:r>
              <w:rPr>
                <w:rFonts w:hint="eastAsia" w:ascii="楷体" w:hAnsi="楷体" w:eastAsia="楷体" w:cs="楷体"/>
                <w:kern w:val="0"/>
                <w:sz w:val="20"/>
                <w:szCs w:val="20"/>
              </w:rPr>
              <w:t>（七）总计</w:t>
            </w:r>
          </w:p>
        </w:tc>
        <w:tc>
          <w:tcPr>
            <w:tcW w:w="653"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w:t>
            </w:r>
            <w:r>
              <w:rPr>
                <w:rFonts w:cs="Times New Roman"/>
                <w:ker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eastAsia="zh-CN"/>
              </w:rPr>
            </w:pPr>
            <w:r>
              <w:rPr>
                <w:rFonts w:hint="eastAsia" w:cs="Times New Roman"/>
                <w:kern w:val="0"/>
                <w:sz w:val="20"/>
                <w:szCs w:val="20"/>
                <w:lang w:val="en-US" w:eastAsia="zh-CN"/>
              </w:rPr>
              <w:t>/</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eastAsia="zh-CN"/>
              </w:rPr>
            </w:pPr>
            <w:r>
              <w:rPr>
                <w:rFonts w:hint="eastAsia" w:cs="Times New Roman"/>
                <w:kern w:val="0"/>
                <w:sz w:val="20"/>
                <w:szCs w:val="20"/>
                <w:lang w:val="en-US" w:eastAsia="zh-CN"/>
              </w:rPr>
              <w:t>/</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19"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line="579" w:lineRule="exact"/>
              <w:jc w:val="left"/>
              <w:rPr>
                <w:rFonts w:cs="Times New Roman"/>
              </w:rPr>
            </w:pPr>
            <w:r>
              <w:rPr>
                <w:rFonts w:hint="eastAsia" w:ascii="宋体" w:hAnsi="宋体" w:cs="宋体"/>
                <w:kern w:val="0"/>
                <w:sz w:val="20"/>
                <w:szCs w:val="20"/>
              </w:rPr>
              <w:t>四、结转下年度继续办理</w:t>
            </w:r>
          </w:p>
        </w:tc>
        <w:tc>
          <w:tcPr>
            <w:tcW w:w="653"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cs="Times New Roman"/>
                <w:kern w:val="0"/>
                <w:sz w:val="20"/>
                <w:szCs w:val="20"/>
                <w:lang w:val="en-US" w:eastAsia="zh-CN"/>
              </w:rPr>
              <w:t>0</w:t>
            </w:r>
            <w:r>
              <w:rPr>
                <w:rFonts w:cs="Times New Roman"/>
                <w:kern w:val="0"/>
                <w:sz w:val="20"/>
                <w:szCs w:val="20"/>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cs="Times New Roman"/>
                <w:kern w:val="0"/>
                <w:sz w:val="20"/>
                <w:szCs w:val="20"/>
              </w:rPr>
              <w:t> </w:t>
            </w:r>
            <w:r>
              <w:rPr>
                <w:rFonts w:hint="eastAsia" w:cs="Times New Roman"/>
                <w:kern w:val="0"/>
                <w:sz w:val="20"/>
                <w:szCs w:val="20"/>
                <w:lang w:val="en-US" w:eastAsia="zh-CN"/>
              </w:rPr>
              <w:t>0</w:t>
            </w:r>
          </w:p>
        </w:tc>
        <w:tc>
          <w:tcPr>
            <w:tcW w:w="689" w:type="dxa"/>
            <w:tcBorders>
              <w:top w:val="nil"/>
              <w:left w:val="nil"/>
              <w:bottom w:val="single" w:color="auto" w:sz="8" w:space="0"/>
              <w:right w:val="single" w:color="auto" w:sz="8" w:space="0"/>
            </w:tcBorders>
            <w:tcMar>
              <w:left w:w="108" w:type="dxa"/>
              <w:right w:w="108" w:type="dxa"/>
            </w:tcMar>
            <w:vAlign w:val="center"/>
          </w:tcPr>
          <w:p>
            <w:pPr>
              <w:spacing w:line="579" w:lineRule="exact"/>
              <w:ind w:firstLine="240" w:firstLineChars="100"/>
              <w:rPr>
                <w:rFonts w:hint="eastAsia" w:ascii="宋体" w:eastAsia="宋体" w:cs="Times New Roman"/>
                <w:sz w:val="24"/>
                <w:szCs w:val="24"/>
                <w:lang w:val="en-US" w:eastAsia="zh-CN"/>
              </w:rPr>
            </w:pPr>
            <w:r>
              <w:rPr>
                <w:rFonts w:hint="eastAsia" w:ascii="宋体" w:cs="Times New Roman"/>
                <w:sz w:val="24"/>
                <w:szCs w:val="24"/>
                <w:lang w:val="en-US" w:eastAsia="zh-CN"/>
              </w:rPr>
              <w:t>0</w:t>
            </w:r>
          </w:p>
        </w:tc>
      </w:tr>
    </w:tbl>
    <w:p>
      <w:pPr>
        <w:pStyle w:val="4"/>
        <w:widowControl/>
        <w:shd w:val="clear" w:color="auto" w:fill="FFFFFF"/>
        <w:spacing w:beforeAutospacing="0" w:afterAutospacing="0" w:line="579" w:lineRule="exact"/>
        <w:jc w:val="both"/>
        <w:rPr>
          <w:rFonts w:hint="eastAsia" w:ascii="仿宋" w:hAnsi="仿宋" w:eastAsia="仿宋" w:cs="仿宋"/>
          <w:b/>
          <w:bCs/>
          <w:color w:val="333333"/>
          <w:sz w:val="32"/>
          <w:szCs w:val="32"/>
          <w:shd w:val="clear" w:color="auto" w:fill="FFFFFF"/>
        </w:rPr>
      </w:pPr>
    </w:p>
    <w:p>
      <w:pPr>
        <w:pStyle w:val="4"/>
        <w:widowControl/>
        <w:shd w:val="clear" w:color="auto" w:fill="FFFFFF"/>
        <w:spacing w:beforeAutospacing="0" w:afterAutospacing="0" w:line="579" w:lineRule="exact"/>
        <w:jc w:val="both"/>
        <w:rPr>
          <w:rFonts w:hint="eastAsia" w:ascii="仿宋" w:hAnsi="仿宋" w:eastAsia="仿宋" w:cs="仿宋"/>
          <w:b/>
          <w:bCs/>
          <w:color w:val="333333"/>
          <w:sz w:val="32"/>
          <w:szCs w:val="32"/>
          <w:shd w:val="clear" w:color="auto" w:fill="FFFFFF"/>
        </w:rPr>
      </w:pPr>
    </w:p>
    <w:p>
      <w:pPr>
        <w:pStyle w:val="4"/>
        <w:widowControl/>
        <w:shd w:val="clear" w:color="auto" w:fill="FFFFFF"/>
        <w:spacing w:beforeAutospacing="0" w:afterAutospacing="0" w:line="579" w:lineRule="exact"/>
        <w:jc w:val="both"/>
        <w:rPr>
          <w:rFonts w:ascii="仿宋" w:hAnsi="仿宋" w:eastAsia="仿宋" w:cs="Times New Roman"/>
          <w:color w:val="333333"/>
          <w:sz w:val="32"/>
          <w:szCs w:val="32"/>
        </w:rPr>
      </w:pPr>
      <w:r>
        <w:rPr>
          <w:rFonts w:hint="eastAsia" w:ascii="仿宋" w:hAnsi="仿宋" w:eastAsia="仿宋" w:cs="仿宋"/>
          <w:b/>
          <w:bCs/>
          <w:color w:val="333333"/>
          <w:sz w:val="32"/>
          <w:szCs w:val="32"/>
          <w:shd w:val="clear" w:color="auto" w:fill="FFFFFF"/>
        </w:rPr>
        <w:t>四、政府信息公开行政复议、行政诉讼情况</w:t>
      </w:r>
    </w:p>
    <w:p>
      <w:pPr>
        <w:pStyle w:val="4"/>
        <w:widowControl/>
        <w:shd w:val="clear" w:color="auto" w:fill="FFFFFF"/>
        <w:spacing w:beforeAutospacing="0" w:afterAutospacing="0" w:line="579" w:lineRule="exact"/>
        <w:ind w:firstLine="420"/>
        <w:jc w:val="both"/>
        <w:rPr>
          <w:rFonts w:ascii="仿宋" w:hAnsi="仿宋" w:eastAsia="仿宋" w:cs="Times New Roman"/>
          <w:color w:val="333333"/>
          <w:sz w:val="32"/>
          <w:szCs w:val="32"/>
        </w:rPr>
      </w:pP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ascii="宋体" w:hAnsi="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ascii="宋体" w:hAnsi="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ascii="宋体" w:hAnsi="宋体" w:cs="宋体"/>
                <w:kern w:val="0"/>
                <w:sz w:val="20"/>
                <w:szCs w:val="20"/>
              </w:rPr>
              <w:t>结果维持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ascii="宋体" w:hAnsi="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ascii="宋体" w:hAnsi="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ascii="宋体" w:hAnsi="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ascii="宋体" w:hAnsi="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ascii="宋体" w:hAnsi="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ascii="宋体" w:hAnsi="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79" w:lineRule="exact"/>
              <w:rPr>
                <w:rFonts w:ascii="宋体" w:cs="Times New Roman"/>
                <w:sz w:val="24"/>
                <w:szCs w:val="24"/>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spacing w:line="579" w:lineRule="exact"/>
              <w:rPr>
                <w:rFonts w:ascii="宋体" w:cs="Times New Roman"/>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spacing w:line="579" w:lineRule="exact"/>
              <w:rPr>
                <w:rFonts w:ascii="宋体" w:cs="Times New Roman"/>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spacing w:line="579" w:lineRule="exact"/>
              <w:rPr>
                <w:rFonts w:ascii="宋体" w:cs="Times New Roman"/>
                <w:sz w:val="24"/>
                <w:szCs w:val="24"/>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spacing w:line="579" w:lineRule="exact"/>
              <w:rPr>
                <w:rFonts w:ascii="宋体" w:cs="Times New Roman"/>
                <w:sz w:val="24"/>
                <w:szCs w:val="24"/>
              </w:rPr>
            </w:pPr>
          </w:p>
        </w:tc>
        <w:tc>
          <w:tcPr>
            <w:tcW w:w="550"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ascii="宋体" w:hAnsi="宋体" w:cs="宋体"/>
                <w:kern w:val="0"/>
                <w:sz w:val="20"/>
                <w:szCs w:val="20"/>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ascii="宋体" w:hAnsi="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ascii="宋体" w:hAnsi="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ascii="宋体" w:hAnsi="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ascii="宋体" w:hAnsi="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ascii="宋体" w:hAnsi="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ascii="宋体" w:hAnsi="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ascii="宋体" w:hAnsi="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ascii="宋体" w:hAnsi="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rFonts w:hint="eastAsia" w:ascii="宋体" w:hAnsi="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kern w:val="0"/>
                <w:sz w:val="20"/>
                <w:szCs w:val="20"/>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kern w:val="0"/>
                <w:sz w:val="20"/>
                <w:szCs w:val="20"/>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kern w:val="0"/>
                <w:sz w:val="20"/>
                <w:szCs w:val="20"/>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kern w:val="0"/>
                <w:sz w:val="20"/>
                <w:szCs w:val="20"/>
              </w:rPr>
              <w:t>0</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cs="Times New Roman"/>
              </w:rPr>
            </w:pPr>
            <w:r>
              <w:rPr>
                <w:kern w:val="0"/>
                <w:sz w:val="20"/>
                <w:szCs w:val="20"/>
              </w:rPr>
              <w:t>0</w:t>
            </w:r>
          </w:p>
        </w:tc>
        <w:tc>
          <w:tcPr>
            <w:tcW w:w="550"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ascii="宋体" w:cs="Times New Roman"/>
                <w:kern w:val="0"/>
                <w:sz w:val="20"/>
                <w:szCs w:val="20"/>
              </w:rPr>
              <w:t> </w:t>
            </w:r>
            <w:r>
              <w:rPr>
                <w:rFonts w:hint="eastAsia" w:ascii="宋体" w:cs="Times New Roman"/>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ascii="宋体" w:cs="Times New Roman"/>
                <w:kern w:val="0"/>
                <w:sz w:val="20"/>
                <w:szCs w:val="20"/>
              </w:rPr>
              <w:t> </w:t>
            </w:r>
            <w:r>
              <w:rPr>
                <w:rFonts w:hint="eastAsia" w:ascii="宋体" w:cs="Times New Roman"/>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ascii="宋体" w:cs="Times New Roman"/>
                <w:kern w:val="0"/>
                <w:sz w:val="20"/>
                <w:szCs w:val="20"/>
              </w:rPr>
              <w:t> </w:t>
            </w:r>
            <w:r>
              <w:rPr>
                <w:rFonts w:hint="eastAsia" w:ascii="宋体" w:cs="Times New Roman"/>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ascii="宋体" w:cs="Times New Roman"/>
                <w:kern w:val="0"/>
                <w:sz w:val="20"/>
                <w:szCs w:val="20"/>
              </w:rPr>
              <w:t> </w:t>
            </w:r>
            <w:r>
              <w:rPr>
                <w:rFonts w:hint="eastAsia" w:ascii="宋体" w:cs="Times New Roman"/>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ascii="宋体" w:cs="Times New Roman"/>
                <w:color w:val="000000"/>
                <w:kern w:val="0"/>
                <w:sz w:val="20"/>
                <w:szCs w:val="20"/>
              </w:rPr>
              <w:t> </w:t>
            </w:r>
            <w:r>
              <w:rPr>
                <w:rFonts w:hint="eastAsia" w:ascii="宋体" w:cs="Times New Roman"/>
                <w:color w:val="000000"/>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ascii="宋体" w:cs="Times New Roman"/>
                <w:kern w:val="0"/>
                <w:sz w:val="20"/>
                <w:szCs w:val="20"/>
              </w:rPr>
              <w:t> </w:t>
            </w:r>
            <w:r>
              <w:rPr>
                <w:rFonts w:hint="eastAsia" w:ascii="宋体" w:cs="Times New Roman"/>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ascii="宋体" w:cs="Times New Roman"/>
                <w:kern w:val="0"/>
                <w:sz w:val="20"/>
                <w:szCs w:val="20"/>
              </w:rPr>
              <w:t> </w:t>
            </w:r>
            <w:r>
              <w:rPr>
                <w:rFonts w:hint="eastAsia" w:ascii="宋体" w:cs="Times New Roman"/>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ascii="宋体" w:cs="Times New Roman"/>
                <w:color w:val="000000"/>
                <w:kern w:val="0"/>
                <w:sz w:val="20"/>
                <w:szCs w:val="20"/>
              </w:rPr>
              <w:t> </w:t>
            </w:r>
            <w:r>
              <w:rPr>
                <w:rFonts w:hint="eastAsia" w:ascii="宋体" w:cs="Times New Roman"/>
                <w:color w:val="000000"/>
                <w:kern w:val="0"/>
                <w:sz w:val="20"/>
                <w:szCs w:val="20"/>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spacing w:after="180" w:line="579" w:lineRule="exact"/>
              <w:jc w:val="center"/>
              <w:rPr>
                <w:rFonts w:hint="eastAsia" w:eastAsia="宋体" w:cs="Times New Roman"/>
                <w:lang w:val="en-US" w:eastAsia="zh-CN"/>
              </w:rPr>
            </w:pPr>
            <w:r>
              <w:rPr>
                <w:rFonts w:ascii="宋体" w:cs="Times New Roman"/>
                <w:kern w:val="0"/>
                <w:sz w:val="20"/>
                <w:szCs w:val="20"/>
              </w:rPr>
              <w:t> </w:t>
            </w:r>
            <w:r>
              <w:rPr>
                <w:rFonts w:hint="eastAsia" w:ascii="宋体" w:cs="Times New Roman"/>
                <w:kern w:val="0"/>
                <w:sz w:val="20"/>
                <w:szCs w:val="20"/>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spacing w:line="579" w:lineRule="exact"/>
              <w:rPr>
                <w:rFonts w:hint="eastAsia" w:ascii="宋体" w:eastAsia="宋体" w:cs="Times New Roman"/>
                <w:sz w:val="24"/>
                <w:szCs w:val="24"/>
                <w:lang w:val="en-US" w:eastAsia="zh-CN"/>
              </w:rPr>
            </w:pPr>
            <w:r>
              <w:rPr>
                <w:rFonts w:hint="eastAsia" w:ascii="宋体" w:cs="Times New Roman"/>
                <w:sz w:val="24"/>
                <w:szCs w:val="24"/>
                <w:lang w:val="en-US" w:eastAsia="zh-CN"/>
              </w:rPr>
              <w:t>0</w:t>
            </w:r>
          </w:p>
        </w:tc>
      </w:tr>
    </w:tbl>
    <w:p>
      <w:pPr>
        <w:widowControl/>
        <w:shd w:val="clear" w:color="auto" w:fill="FFFFFF"/>
        <w:spacing w:line="579" w:lineRule="exact"/>
        <w:jc w:val="center"/>
        <w:rPr>
          <w:rFonts w:ascii="宋体" w:cs="Times New Roman"/>
          <w:color w:val="333333"/>
          <w:sz w:val="24"/>
          <w:szCs w:val="24"/>
        </w:rPr>
      </w:pPr>
    </w:p>
    <w:p>
      <w:pPr>
        <w:pStyle w:val="4"/>
        <w:widowControl/>
        <w:shd w:val="clear" w:color="auto" w:fill="FFFFFF"/>
        <w:spacing w:beforeAutospacing="0" w:afterAutospacing="0" w:line="579" w:lineRule="exact"/>
        <w:ind w:firstLine="420"/>
        <w:jc w:val="both"/>
        <w:rPr>
          <w:rFonts w:ascii="仿宋" w:hAnsi="仿宋" w:eastAsia="仿宋" w:cs="Times New Roman"/>
          <w:color w:val="333333"/>
          <w:sz w:val="32"/>
          <w:szCs w:val="32"/>
        </w:rPr>
      </w:pPr>
      <w:r>
        <w:rPr>
          <w:rFonts w:hint="eastAsia" w:ascii="仿宋" w:hAnsi="仿宋" w:eastAsia="仿宋" w:cs="仿宋"/>
          <w:b/>
          <w:bCs/>
          <w:color w:val="333333"/>
          <w:sz w:val="32"/>
          <w:szCs w:val="32"/>
          <w:shd w:val="clear" w:color="auto" w:fill="FFFFFF"/>
        </w:rPr>
        <w:t>五、存在的主要问题及改进情况</w:t>
      </w:r>
    </w:p>
    <w:p>
      <w:pPr>
        <w:widowControl/>
        <w:shd w:val="clear" w:color="auto" w:fill="FFFFFF"/>
        <w:spacing w:before="240" w:after="240"/>
        <w:jc w:val="left"/>
        <w:rPr>
          <w:rFonts w:ascii="楷体" w:hAnsi="楷体" w:eastAsia="楷体" w:cs="Times New Roman"/>
          <w:color w:val="333333"/>
          <w:kern w:val="0"/>
          <w:sz w:val="32"/>
          <w:szCs w:val="32"/>
        </w:rPr>
      </w:pPr>
      <w:r>
        <w:rPr>
          <w:rFonts w:ascii="楷体" w:hAnsi="楷体" w:eastAsia="楷体" w:cs="楷体"/>
          <w:color w:val="333333"/>
          <w:kern w:val="0"/>
          <w:sz w:val="32"/>
          <w:szCs w:val="32"/>
        </w:rPr>
        <w:t xml:space="preserve">  </w:t>
      </w:r>
      <w:r>
        <w:rPr>
          <w:rFonts w:hint="eastAsia" w:ascii="楷体" w:hAnsi="楷体" w:eastAsia="楷体" w:cs="楷体"/>
          <w:color w:val="333333"/>
          <w:kern w:val="0"/>
          <w:sz w:val="32"/>
          <w:szCs w:val="32"/>
        </w:rPr>
        <w:t>（一）工作中存在的主要问题</w:t>
      </w:r>
    </w:p>
    <w:p>
      <w:pPr>
        <w:widowControl/>
        <w:shd w:val="clear" w:color="auto" w:fill="FFFFFF"/>
        <w:spacing w:before="240" w:after="240"/>
        <w:jc w:val="left"/>
        <w:rPr>
          <w:rFonts w:ascii="仿宋" w:hAnsi="仿宋" w:eastAsia="仿宋" w:cs="Times New Roman"/>
          <w:color w:val="333333"/>
          <w:kern w:val="0"/>
          <w:sz w:val="32"/>
          <w:szCs w:val="32"/>
        </w:rPr>
      </w:pPr>
      <w:r>
        <w:rPr>
          <w:rFonts w:ascii="仿宋" w:hAnsi="仿宋" w:eastAsia="仿宋" w:cs="仿宋"/>
          <w:color w:val="333333"/>
          <w:kern w:val="0"/>
          <w:sz w:val="32"/>
          <w:szCs w:val="32"/>
        </w:rPr>
        <w:t xml:space="preserve">   1. </w:t>
      </w:r>
      <w:r>
        <w:rPr>
          <w:rFonts w:hint="eastAsia" w:ascii="仿宋" w:hAnsi="仿宋" w:eastAsia="仿宋" w:cs="仿宋"/>
          <w:color w:val="333333"/>
          <w:kern w:val="0"/>
          <w:sz w:val="32"/>
          <w:szCs w:val="32"/>
        </w:rPr>
        <w:t>工作基础需进一步夯实。中办、国办《关于全面推进政务公开工作的意见》将政务公开的范围扩大到行政决策、执行、管理、服务、结果和重点领域，远超《政府信息公开条例》所规定的信息公开范围，在公开的广度和深度方面还有差距。</w:t>
      </w:r>
    </w:p>
    <w:p>
      <w:pPr>
        <w:keepNext w:val="0"/>
        <w:keepLines w:val="0"/>
        <w:pageBreakBefore w:val="0"/>
        <w:widowControl/>
        <w:shd w:val="clear" w:color="auto" w:fill="FFFFFF"/>
        <w:kinsoku/>
        <w:wordWrap/>
        <w:overflowPunct/>
        <w:topLinePunct w:val="0"/>
        <w:autoSpaceDE/>
        <w:autoSpaceDN/>
        <w:bidi w:val="0"/>
        <w:adjustRightInd/>
        <w:snapToGrid/>
        <w:spacing w:before="240" w:after="240" w:line="520" w:lineRule="exact"/>
        <w:jc w:val="left"/>
        <w:textAlignment w:val="auto"/>
        <w:rPr>
          <w:rFonts w:ascii="仿宋" w:hAnsi="仿宋" w:eastAsia="仿宋" w:cs="Times New Roman"/>
          <w:color w:val="333333"/>
          <w:kern w:val="0"/>
          <w:sz w:val="32"/>
          <w:szCs w:val="32"/>
        </w:rPr>
      </w:pPr>
      <w:r>
        <w:rPr>
          <w:rFonts w:ascii="仿宋" w:hAnsi="仿宋" w:eastAsia="仿宋" w:cs="仿宋"/>
          <w:color w:val="333333"/>
          <w:kern w:val="0"/>
          <w:sz w:val="32"/>
          <w:szCs w:val="32"/>
        </w:rPr>
        <w:t xml:space="preserve">   2.</w:t>
      </w:r>
      <w:r>
        <w:rPr>
          <w:rFonts w:hint="eastAsia" w:ascii="仿宋" w:hAnsi="仿宋" w:eastAsia="仿宋" w:cs="仿宋"/>
          <w:color w:val="333333"/>
          <w:kern w:val="0"/>
          <w:sz w:val="32"/>
          <w:szCs w:val="32"/>
        </w:rPr>
        <w:t>工作发展还不平衡。人社工作线多面广，部分科室（局属单位）对政务公开工作重要性的认识不到位，对政务公开内容例如政策解读的要求等理解不透彻或工作动态报送不及时，政务公开工作相对滞后。</w:t>
      </w:r>
    </w:p>
    <w:p>
      <w:pPr>
        <w:keepNext w:val="0"/>
        <w:keepLines w:val="0"/>
        <w:pageBreakBefore w:val="0"/>
        <w:widowControl/>
        <w:shd w:val="clear" w:color="auto" w:fill="FFFFFF"/>
        <w:kinsoku/>
        <w:wordWrap/>
        <w:overflowPunct/>
        <w:topLinePunct w:val="0"/>
        <w:autoSpaceDE/>
        <w:autoSpaceDN/>
        <w:bidi w:val="0"/>
        <w:adjustRightInd/>
        <w:snapToGrid/>
        <w:spacing w:before="240" w:after="240" w:line="520" w:lineRule="exact"/>
        <w:jc w:val="left"/>
        <w:textAlignment w:val="auto"/>
        <w:rPr>
          <w:rFonts w:ascii="仿宋" w:hAnsi="仿宋" w:eastAsia="仿宋" w:cs="Times New Roman"/>
          <w:color w:val="333333"/>
          <w:kern w:val="0"/>
          <w:sz w:val="32"/>
          <w:szCs w:val="32"/>
        </w:rPr>
      </w:pPr>
      <w:r>
        <w:rPr>
          <w:rFonts w:ascii="仿宋" w:hAnsi="仿宋" w:eastAsia="仿宋" w:cs="仿宋"/>
          <w:color w:val="333333"/>
          <w:kern w:val="0"/>
          <w:sz w:val="32"/>
          <w:szCs w:val="32"/>
        </w:rPr>
        <w:t xml:space="preserve">   3.</w:t>
      </w:r>
      <w:r>
        <w:rPr>
          <w:rFonts w:hint="eastAsia" w:ascii="仿宋" w:hAnsi="仿宋" w:eastAsia="仿宋" w:cs="仿宋"/>
          <w:color w:val="333333"/>
          <w:kern w:val="0"/>
          <w:sz w:val="32"/>
          <w:szCs w:val="32"/>
        </w:rPr>
        <w:t>公开内容需进一步深化，公开形式需进一步优化，政务公开的有效性、便民性需进一步提高。</w:t>
      </w:r>
    </w:p>
    <w:p>
      <w:pPr>
        <w:keepNext w:val="0"/>
        <w:keepLines w:val="0"/>
        <w:pageBreakBefore w:val="0"/>
        <w:widowControl/>
        <w:shd w:val="clear" w:color="auto" w:fill="FFFFFF"/>
        <w:kinsoku/>
        <w:wordWrap/>
        <w:overflowPunct/>
        <w:topLinePunct w:val="0"/>
        <w:autoSpaceDE/>
        <w:autoSpaceDN/>
        <w:bidi w:val="0"/>
        <w:adjustRightInd/>
        <w:snapToGrid/>
        <w:spacing w:before="240" w:after="240" w:line="520" w:lineRule="exact"/>
        <w:jc w:val="left"/>
        <w:textAlignment w:val="auto"/>
        <w:rPr>
          <w:rFonts w:ascii="楷体" w:hAnsi="楷体" w:eastAsia="楷体" w:cs="Times New Roman"/>
          <w:color w:val="333333"/>
          <w:kern w:val="0"/>
          <w:sz w:val="32"/>
          <w:szCs w:val="32"/>
        </w:rPr>
      </w:pPr>
      <w:r>
        <w:rPr>
          <w:rFonts w:ascii="仿宋" w:hAnsi="仿宋" w:eastAsia="仿宋" w:cs="仿宋"/>
          <w:color w:val="333333"/>
          <w:kern w:val="0"/>
          <w:sz w:val="32"/>
          <w:szCs w:val="32"/>
        </w:rPr>
        <w:t xml:space="preserve">  </w:t>
      </w:r>
      <w:r>
        <w:rPr>
          <w:rFonts w:hint="eastAsia" w:ascii="楷体" w:hAnsi="楷体" w:eastAsia="楷体" w:cs="楷体"/>
          <w:color w:val="333333"/>
          <w:kern w:val="0"/>
          <w:sz w:val="32"/>
          <w:szCs w:val="32"/>
        </w:rPr>
        <w:t>（二）具体的解决办法和改进措施</w:t>
      </w:r>
    </w:p>
    <w:p>
      <w:pPr>
        <w:keepNext w:val="0"/>
        <w:keepLines w:val="0"/>
        <w:pageBreakBefore w:val="0"/>
        <w:widowControl/>
        <w:shd w:val="clear" w:color="auto" w:fill="FFFFFF"/>
        <w:kinsoku/>
        <w:wordWrap/>
        <w:overflowPunct/>
        <w:topLinePunct w:val="0"/>
        <w:autoSpaceDE/>
        <w:autoSpaceDN/>
        <w:bidi w:val="0"/>
        <w:adjustRightInd/>
        <w:snapToGrid/>
        <w:spacing w:before="240" w:after="240" w:line="520" w:lineRule="exact"/>
        <w:jc w:val="left"/>
        <w:textAlignment w:val="auto"/>
        <w:rPr>
          <w:rFonts w:ascii="仿宋" w:hAnsi="仿宋" w:eastAsia="仿宋" w:cs="Times New Roman"/>
          <w:color w:val="333333"/>
          <w:kern w:val="0"/>
          <w:sz w:val="32"/>
          <w:szCs w:val="32"/>
        </w:rPr>
      </w:pPr>
      <w:r>
        <w:rPr>
          <w:rFonts w:ascii="仿宋" w:hAnsi="仿宋" w:eastAsia="仿宋" w:cs="仿宋"/>
          <w:color w:val="333333"/>
          <w:kern w:val="0"/>
          <w:sz w:val="32"/>
          <w:szCs w:val="32"/>
        </w:rPr>
        <w:t xml:space="preserve">   1.</w:t>
      </w:r>
      <w:r>
        <w:rPr>
          <w:rFonts w:hint="eastAsia" w:ascii="仿宋" w:hAnsi="仿宋" w:eastAsia="仿宋" w:cs="仿宋"/>
          <w:color w:val="333333"/>
          <w:kern w:val="0"/>
          <w:sz w:val="32"/>
          <w:szCs w:val="32"/>
        </w:rPr>
        <w:t>进一步深化公开内容，着力推进决策、执行、管理、服务、结果公开。继续深入贯彻《湖南省全面推进政务公开工作的实施意见》和《长沙市全面推进政务公开工作的实施意见》精神，进一步扩大公开范围，增强公开实效，把政务公开工作不断推向深入。</w:t>
      </w:r>
    </w:p>
    <w:p>
      <w:pPr>
        <w:keepNext w:val="0"/>
        <w:keepLines w:val="0"/>
        <w:pageBreakBefore w:val="0"/>
        <w:widowControl/>
        <w:shd w:val="clear" w:color="auto" w:fill="FFFFFF"/>
        <w:kinsoku/>
        <w:wordWrap/>
        <w:overflowPunct/>
        <w:topLinePunct w:val="0"/>
        <w:autoSpaceDE/>
        <w:autoSpaceDN/>
        <w:bidi w:val="0"/>
        <w:adjustRightInd/>
        <w:snapToGrid/>
        <w:spacing w:before="240" w:after="240" w:line="520" w:lineRule="exact"/>
        <w:jc w:val="left"/>
        <w:textAlignment w:val="auto"/>
        <w:rPr>
          <w:rFonts w:ascii="仿宋" w:hAnsi="仿宋" w:eastAsia="仿宋" w:cs="Times New Roman"/>
          <w:color w:val="333333"/>
          <w:kern w:val="0"/>
          <w:sz w:val="32"/>
          <w:szCs w:val="32"/>
        </w:rPr>
      </w:pPr>
      <w:r>
        <w:rPr>
          <w:rFonts w:ascii="仿宋" w:hAnsi="仿宋" w:eastAsia="仿宋" w:cs="仿宋"/>
          <w:color w:val="333333"/>
          <w:kern w:val="0"/>
          <w:sz w:val="32"/>
          <w:szCs w:val="32"/>
        </w:rPr>
        <w:t xml:space="preserve">   2.</w:t>
      </w:r>
      <w:r>
        <w:rPr>
          <w:rFonts w:hint="eastAsia" w:ascii="仿宋" w:hAnsi="仿宋" w:eastAsia="仿宋" w:cs="仿宋"/>
          <w:color w:val="333333"/>
          <w:kern w:val="0"/>
          <w:sz w:val="32"/>
          <w:szCs w:val="32"/>
        </w:rPr>
        <w:t>加强政务公开培训工作，不断增强干部的政务公开意识，提升全局各科室各部门对政务公开工作重要性的认识，促进提升政务公开工作的主动性。</w:t>
      </w:r>
    </w:p>
    <w:p>
      <w:pPr>
        <w:keepNext w:val="0"/>
        <w:keepLines w:val="0"/>
        <w:pageBreakBefore w:val="0"/>
        <w:widowControl/>
        <w:shd w:val="clear" w:color="auto" w:fill="FFFFFF"/>
        <w:kinsoku/>
        <w:wordWrap/>
        <w:overflowPunct/>
        <w:topLinePunct w:val="0"/>
        <w:autoSpaceDE/>
        <w:autoSpaceDN/>
        <w:bidi w:val="0"/>
        <w:adjustRightInd/>
        <w:snapToGrid/>
        <w:spacing w:before="240" w:after="240" w:line="520" w:lineRule="exact"/>
        <w:jc w:val="left"/>
        <w:textAlignment w:val="auto"/>
        <w:rPr>
          <w:rFonts w:hint="eastAsia" w:ascii="仿宋" w:hAnsi="仿宋" w:eastAsia="仿宋" w:cs="仿宋"/>
          <w:color w:val="333333"/>
          <w:kern w:val="0"/>
          <w:sz w:val="32"/>
          <w:szCs w:val="32"/>
        </w:rPr>
      </w:pPr>
      <w:r>
        <w:rPr>
          <w:rFonts w:ascii="仿宋" w:hAnsi="仿宋" w:eastAsia="仿宋" w:cs="仿宋"/>
          <w:color w:val="333333"/>
          <w:kern w:val="0"/>
          <w:sz w:val="32"/>
          <w:szCs w:val="32"/>
        </w:rPr>
        <w:t xml:space="preserve">   3.</w:t>
      </w:r>
      <w:r>
        <w:rPr>
          <w:rFonts w:hint="eastAsia" w:ascii="仿宋" w:hAnsi="仿宋" w:eastAsia="仿宋" w:cs="仿宋"/>
          <w:color w:val="333333"/>
          <w:kern w:val="0"/>
          <w:sz w:val="32"/>
          <w:szCs w:val="32"/>
        </w:rPr>
        <w:t>加强对门户网站维护管理，为“互联网</w:t>
      </w:r>
      <w:r>
        <w:rPr>
          <w:rFonts w:ascii="仿宋" w:hAnsi="仿宋" w:eastAsia="仿宋" w:cs="仿宋"/>
          <w:color w:val="333333"/>
          <w:kern w:val="0"/>
          <w:sz w:val="32"/>
          <w:szCs w:val="32"/>
        </w:rPr>
        <w:t>+</w:t>
      </w:r>
      <w:r>
        <w:rPr>
          <w:rFonts w:hint="eastAsia" w:ascii="仿宋" w:hAnsi="仿宋" w:eastAsia="仿宋" w:cs="仿宋"/>
          <w:color w:val="333333"/>
          <w:kern w:val="0"/>
          <w:sz w:val="32"/>
          <w:szCs w:val="32"/>
        </w:rPr>
        <w:t>政务服务”提供有力保障，让网络为百姓跑腿办事，让群众有更多的获得感。</w:t>
      </w:r>
    </w:p>
    <w:p>
      <w:pPr>
        <w:keepNext w:val="0"/>
        <w:keepLines w:val="0"/>
        <w:pageBreakBefore w:val="0"/>
        <w:widowControl/>
        <w:shd w:val="clear" w:color="auto" w:fill="FFFFFF"/>
        <w:kinsoku/>
        <w:wordWrap/>
        <w:overflowPunct/>
        <w:topLinePunct w:val="0"/>
        <w:autoSpaceDE/>
        <w:autoSpaceDN/>
        <w:bidi w:val="0"/>
        <w:adjustRightInd/>
        <w:snapToGrid/>
        <w:spacing w:before="240" w:after="240" w:line="520" w:lineRule="exact"/>
        <w:jc w:val="left"/>
        <w:textAlignment w:val="auto"/>
        <w:rPr>
          <w:rFonts w:ascii="仿宋" w:hAnsi="仿宋" w:eastAsia="仿宋" w:cs="Times New Roman"/>
          <w:color w:val="333333"/>
          <w:kern w:val="0"/>
          <w:sz w:val="32"/>
          <w:szCs w:val="32"/>
        </w:rPr>
      </w:pPr>
      <w:r>
        <w:rPr>
          <w:rFonts w:ascii="仿宋" w:hAnsi="仿宋" w:eastAsia="仿宋" w:cs="仿宋"/>
          <w:color w:val="333333"/>
          <w:kern w:val="0"/>
          <w:sz w:val="32"/>
          <w:szCs w:val="32"/>
        </w:rPr>
        <w:t xml:space="preserve">  4.</w:t>
      </w:r>
      <w:r>
        <w:rPr>
          <w:rFonts w:hint="eastAsia" w:ascii="仿宋" w:hAnsi="仿宋" w:eastAsia="仿宋" w:cs="仿宋"/>
          <w:color w:val="333333"/>
          <w:kern w:val="0"/>
          <w:sz w:val="32"/>
          <w:szCs w:val="32"/>
        </w:rPr>
        <w:t>完善政务公开工作机制。继续优化政务公开渠道，完善网站、微信等新媒体载体建设，运用全媒体手段做好政务公开工作，不断丰富公开形式。</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jc w:val="both"/>
        <w:textAlignment w:val="auto"/>
        <w:rPr>
          <w:rFonts w:ascii="仿宋" w:hAnsi="仿宋" w:eastAsia="仿宋" w:cs="Times New Roman"/>
          <w:color w:val="333333"/>
          <w:sz w:val="32"/>
          <w:szCs w:val="32"/>
        </w:rPr>
      </w:pPr>
      <w:r>
        <w:rPr>
          <w:rFonts w:hint="eastAsia" w:ascii="仿宋" w:hAnsi="仿宋" w:eastAsia="仿宋" w:cs="仿宋"/>
          <w:b/>
          <w:bCs/>
          <w:color w:val="333333"/>
          <w:sz w:val="32"/>
          <w:szCs w:val="32"/>
          <w:shd w:val="clear" w:color="auto" w:fill="FFFFFF"/>
        </w:rPr>
        <w:t>六、其他需要报告的事项</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480"/>
        <w:textAlignment w:val="auto"/>
        <w:rPr>
          <w:rFonts w:hint="eastAsia" w:ascii="仿宋" w:hAnsi="仿宋" w:eastAsia="仿宋"/>
          <w:color w:val="333333"/>
          <w:sz w:val="32"/>
          <w:szCs w:val="32"/>
          <w:lang w:eastAsia="zh-CN"/>
        </w:rPr>
      </w:pPr>
      <w:r>
        <w:rPr>
          <w:rFonts w:hint="eastAsia" w:ascii="仿宋" w:hAnsi="仿宋" w:eastAsia="仿宋"/>
          <w:color w:val="333333"/>
          <w:sz w:val="32"/>
          <w:szCs w:val="32"/>
        </w:rPr>
        <w:t>全年累计公开各类信息</w:t>
      </w:r>
      <w:r>
        <w:rPr>
          <w:rFonts w:hint="eastAsia" w:ascii="仿宋" w:hAnsi="仿宋" w:eastAsia="仿宋"/>
          <w:color w:val="333333"/>
          <w:sz w:val="32"/>
          <w:szCs w:val="32"/>
          <w:lang w:val="en-US" w:eastAsia="zh-CN"/>
        </w:rPr>
        <w:t>243</w:t>
      </w:r>
      <w:r>
        <w:rPr>
          <w:rFonts w:hint="eastAsia" w:ascii="仿宋" w:hAnsi="仿宋" w:eastAsia="仿宋"/>
          <w:color w:val="auto"/>
          <w:sz w:val="32"/>
          <w:szCs w:val="32"/>
        </w:rPr>
        <w:t>条</w:t>
      </w:r>
      <w:r>
        <w:rPr>
          <w:rFonts w:hint="eastAsia" w:ascii="仿宋" w:hAnsi="仿宋" w:eastAsia="仿宋"/>
          <w:color w:val="333333"/>
          <w:sz w:val="32"/>
          <w:szCs w:val="32"/>
        </w:rPr>
        <w:t>，其中通过政府网站公开政府信息</w:t>
      </w:r>
      <w:r>
        <w:rPr>
          <w:rFonts w:hint="eastAsia" w:ascii="仿宋" w:hAnsi="仿宋" w:eastAsia="仿宋"/>
          <w:color w:val="auto"/>
          <w:sz w:val="32"/>
          <w:szCs w:val="32"/>
          <w:lang w:val="en-US" w:eastAsia="zh-CN"/>
        </w:rPr>
        <w:t>138</w:t>
      </w:r>
      <w:r>
        <w:rPr>
          <w:rFonts w:hint="eastAsia" w:ascii="仿宋" w:hAnsi="仿宋" w:eastAsia="仿宋"/>
          <w:color w:val="auto"/>
          <w:sz w:val="32"/>
          <w:szCs w:val="32"/>
        </w:rPr>
        <w:t>条</w:t>
      </w:r>
      <w:r>
        <w:rPr>
          <w:rFonts w:hint="eastAsia" w:ascii="仿宋" w:hAnsi="仿宋" w:eastAsia="仿宋"/>
          <w:color w:val="333333"/>
          <w:sz w:val="32"/>
          <w:szCs w:val="32"/>
        </w:rPr>
        <w:t>，通过政府微信公开政府信息</w:t>
      </w:r>
      <w:r>
        <w:rPr>
          <w:rFonts w:hint="eastAsia" w:ascii="仿宋" w:hAnsi="仿宋" w:eastAsia="仿宋"/>
          <w:color w:val="333333"/>
          <w:sz w:val="32"/>
          <w:szCs w:val="32"/>
          <w:lang w:val="en-US" w:eastAsia="zh-CN"/>
        </w:rPr>
        <w:t>105</w:t>
      </w:r>
      <w:r>
        <w:rPr>
          <w:rFonts w:hint="eastAsia" w:ascii="仿宋" w:hAnsi="仿宋" w:eastAsia="仿宋"/>
          <w:color w:val="auto"/>
          <w:sz w:val="32"/>
          <w:szCs w:val="32"/>
        </w:rPr>
        <w:t>条</w:t>
      </w:r>
      <w:r>
        <w:rPr>
          <w:rFonts w:hint="eastAsia" w:ascii="仿宋" w:hAnsi="仿宋" w:eastAsia="仿宋"/>
          <w:color w:val="auto"/>
          <w:sz w:val="32"/>
          <w:szCs w:val="32"/>
          <w:lang w:eastAsia="zh-CN"/>
        </w:rPr>
        <w:t>。</w:t>
      </w:r>
    </w:p>
    <w:p>
      <w:pPr>
        <w:keepNext w:val="0"/>
        <w:keepLines w:val="0"/>
        <w:pageBreakBefore w:val="0"/>
        <w:kinsoku/>
        <w:wordWrap/>
        <w:overflowPunct/>
        <w:topLinePunct w:val="0"/>
        <w:autoSpaceDE/>
        <w:autoSpaceDN/>
        <w:bidi w:val="0"/>
        <w:adjustRightInd/>
        <w:snapToGrid/>
        <w:spacing w:line="520" w:lineRule="exact"/>
        <w:textAlignment w:val="auto"/>
        <w:rPr>
          <w:rFonts w:cs="Times New Roma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rPr>
                              <w:rFonts w:cs="Times New Roman"/>
                            </w:rPr>
                          </w:pPr>
                          <w:r>
                            <w:fldChar w:fldCharType="begin"/>
                          </w:r>
                          <w:r>
                            <w:instrText xml:space="preserve"> PAGE  \* MERGEFORMAT </w:instrText>
                          </w:r>
                          <w:r>
                            <w:fldChar w:fldCharType="separate"/>
                          </w:r>
                          <w:r>
                            <w:t>6</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0lY7tAAAAAFAQAADwAAAAAAAAABACAAAAAiAAAAZHJz&#10;L2Rvd25yZXYueG1sUEsBAhQAFAAAAAgAh07iQPWfuI3TAQAApQMAAA4AAAAAAAAAAQAgAAAAHwEA&#10;AGRycy9lMm9Eb2MueG1sUEsFBgAAAAAGAAYAWQEAAGQFAAAAAA==&#10;">
              <v:fill on="f" focussize="0,0"/>
              <v:stroke on="f" weight="0.5pt"/>
              <v:imagedata o:title=""/>
              <o:lock v:ext="edit" aspectratio="f"/>
              <v:textbox inset="0mm,0mm,0mm,0mm" style="mso-fit-shape-to-text:t;">
                <w:txbxContent>
                  <w:p>
                    <w:pPr>
                      <w:pStyle w:val="3"/>
                      <w:rPr>
                        <w:rFonts w:cs="Times New Roman"/>
                      </w:rPr>
                    </w:pPr>
                    <w:r>
                      <w:fldChar w:fldCharType="begin"/>
                    </w:r>
                    <w:r>
                      <w:instrText xml:space="preserve"> PAGE  \* MERGEFORMAT </w:instrText>
                    </w:r>
                    <w:r>
                      <w:fldChar w:fldCharType="separate"/>
                    </w:r>
                    <w:r>
                      <w:t>6</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5DB68"/>
    <w:multiLevelType w:val="singleLevel"/>
    <w:tmpl w:val="86E5DB6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71569E"/>
    <w:rsid w:val="00117BDD"/>
    <w:rsid w:val="0044667E"/>
    <w:rsid w:val="0050239E"/>
    <w:rsid w:val="00542EAD"/>
    <w:rsid w:val="005D7DC9"/>
    <w:rsid w:val="005F5B39"/>
    <w:rsid w:val="0063143A"/>
    <w:rsid w:val="006523EC"/>
    <w:rsid w:val="00661561"/>
    <w:rsid w:val="006B0360"/>
    <w:rsid w:val="0078715F"/>
    <w:rsid w:val="00830C9C"/>
    <w:rsid w:val="008D0196"/>
    <w:rsid w:val="00A91E30"/>
    <w:rsid w:val="00AD5D92"/>
    <w:rsid w:val="00B3218A"/>
    <w:rsid w:val="00B96552"/>
    <w:rsid w:val="00E21C59"/>
    <w:rsid w:val="00E26456"/>
    <w:rsid w:val="00E5415A"/>
    <w:rsid w:val="00EB7EF3"/>
    <w:rsid w:val="00ED4737"/>
    <w:rsid w:val="00F95E70"/>
    <w:rsid w:val="07884B86"/>
    <w:rsid w:val="0A4B2EAF"/>
    <w:rsid w:val="1D363831"/>
    <w:rsid w:val="219A7A0D"/>
    <w:rsid w:val="22163BCC"/>
    <w:rsid w:val="23FB1F4D"/>
    <w:rsid w:val="254A15C7"/>
    <w:rsid w:val="268F1D9D"/>
    <w:rsid w:val="2E2F6DCB"/>
    <w:rsid w:val="312D4060"/>
    <w:rsid w:val="342425D5"/>
    <w:rsid w:val="3BDE7F64"/>
    <w:rsid w:val="3BE90A77"/>
    <w:rsid w:val="3D71569E"/>
    <w:rsid w:val="3DC90232"/>
    <w:rsid w:val="40C54125"/>
    <w:rsid w:val="44E83FB0"/>
    <w:rsid w:val="46701602"/>
    <w:rsid w:val="483502AB"/>
    <w:rsid w:val="4EB85845"/>
    <w:rsid w:val="50774236"/>
    <w:rsid w:val="51B319C1"/>
    <w:rsid w:val="56596302"/>
    <w:rsid w:val="566619E2"/>
    <w:rsid w:val="574841C6"/>
    <w:rsid w:val="59935C09"/>
    <w:rsid w:val="5DF163B5"/>
    <w:rsid w:val="63C42103"/>
    <w:rsid w:val="64864606"/>
    <w:rsid w:val="6B2234CB"/>
    <w:rsid w:val="6D53614B"/>
    <w:rsid w:val="6EBD4A80"/>
    <w:rsid w:val="6F0D3C2D"/>
    <w:rsid w:val="7E662EAE"/>
    <w:rsid w:val="7F893219"/>
    <w:rsid w:val="7FBE69C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iPriority="99" w:name="header" w:locked="1"/>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qFormat/>
    <w:uiPriority w:val="99"/>
    <w:pPr>
      <w:ind w:left="100" w:leftChars="2500"/>
    </w:p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Normal (Web)"/>
    <w:basedOn w:val="1"/>
    <w:qFormat/>
    <w:uiPriority w:val="99"/>
    <w:pPr>
      <w:spacing w:beforeAutospacing="1" w:afterAutospacing="1"/>
      <w:jc w:val="left"/>
    </w:pPr>
    <w:rPr>
      <w:kern w:val="0"/>
      <w:sz w:val="24"/>
      <w:szCs w:val="24"/>
    </w:rPr>
  </w:style>
  <w:style w:type="character" w:styleId="7">
    <w:name w:val="Hyperlink"/>
    <w:basedOn w:val="6"/>
    <w:qFormat/>
    <w:uiPriority w:val="99"/>
    <w:rPr>
      <w:color w:val="0000FF"/>
      <w:u w:val="single"/>
    </w:rPr>
  </w:style>
  <w:style w:type="character" w:customStyle="1" w:styleId="8">
    <w:name w:val="Footer Char"/>
    <w:basedOn w:val="6"/>
    <w:link w:val="3"/>
    <w:semiHidden/>
    <w:qFormat/>
    <w:locked/>
    <w:uiPriority w:val="99"/>
    <w:rPr>
      <w:rFonts w:ascii="Calibri" w:hAnsi="Calibri" w:cs="Calibri"/>
      <w:sz w:val="18"/>
      <w:szCs w:val="18"/>
    </w:rPr>
  </w:style>
  <w:style w:type="character" w:customStyle="1" w:styleId="9">
    <w:name w:val="Date Char"/>
    <w:basedOn w:val="6"/>
    <w:link w:val="2"/>
    <w:semiHidden/>
    <w:qFormat/>
    <w:locked/>
    <w:uiPriority w:val="99"/>
    <w:rPr>
      <w:rFonts w:ascii="Calibri" w:hAnsi="Calibri" w:cs="Calibri"/>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8</Pages>
  <Words>402</Words>
  <Characters>2293</Characters>
  <Lines>0</Lines>
  <Paragraphs>0</Paragraphs>
  <TotalTime>66</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2019-12-11T03:12:00Z</dcterms:created>
  <dc:creator>G</dc:creator>
  <cp:lastModifiedBy>浅浅笑</cp:lastModifiedBy>
  <cp:lastPrinted>2019-12-24T02:40:00Z</cp:lastPrinted>
  <dcterms:modified xsi:type="dcterms:W3CDTF">2021-03-19T07:21:22Z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E76FC340BDAA408EAD011D9B557DA3AD</vt:lpwstr>
  </property>
</Properties>
</file>