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楷体_GB2312"/>
          <w:bCs/>
          <w:color w:val="auto"/>
          <w:kern w:val="0"/>
          <w:sz w:val="48"/>
          <w:szCs w:val="48"/>
        </w:rPr>
      </w:pPr>
      <w:r>
        <w:rPr>
          <w:rFonts w:hint="eastAsia" w:ascii="仿宋" w:hAnsi="仿宋" w:eastAsia="仿宋" w:cs="仿宋"/>
          <w:b/>
          <w:bCs/>
          <w:color w:val="auto"/>
          <w:kern w:val="0"/>
          <w:sz w:val="48"/>
          <w:szCs w:val="48"/>
        </w:rPr>
        <w:t>2021年长沙市开福区医疗保障局部门预算</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color w:val="auto"/>
          <w:kern w:val="0"/>
          <w:sz w:val="48"/>
          <w:szCs w:val="48"/>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color w:val="auto"/>
          <w:kern w:val="0"/>
          <w:sz w:val="32"/>
          <w:szCs w:val="32"/>
        </w:rPr>
      </w:pPr>
      <w:r>
        <w:rPr>
          <w:rFonts w:eastAsia="黑体"/>
          <w:bCs/>
          <w:color w:val="auto"/>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color w:val="auto"/>
          <w:kern w:val="0"/>
          <w:sz w:val="32"/>
          <w:szCs w:val="32"/>
        </w:rPr>
      </w:pPr>
      <w:r>
        <w:rPr>
          <w:rFonts w:hint="eastAsia" w:ascii="黑体" w:hAnsi="黑体" w:eastAsia="黑体" w:cs="黑体"/>
          <w:b/>
          <w:bCs/>
          <w:color w:val="auto"/>
          <w:kern w:val="0"/>
          <w:sz w:val="32"/>
          <w:szCs w:val="32"/>
        </w:rPr>
        <w:t>2021年部门预算说明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4"/>
        <w:textAlignment w:val="auto"/>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一、部门基本概况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4"/>
        <w:textAlignment w:val="auto"/>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二、部门预算单位构成</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4"/>
        <w:textAlignment w:val="auto"/>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三、部门收支总体情况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四、一般公共预算拨款支出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五、政府性基金预算支出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六、其他重要事项的情况说明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b/>
          <w:bCs/>
          <w:color w:val="auto"/>
          <w:sz w:val="32"/>
          <w:szCs w:val="32"/>
        </w:rPr>
      </w:pPr>
      <w:r>
        <w:rPr>
          <w:rFonts w:hint="eastAsia" w:ascii="仿宋" w:hAnsi="仿宋" w:eastAsia="仿宋" w:cs="仿宋"/>
          <w:color w:val="auto"/>
          <w:sz w:val="32"/>
          <w:szCs w:val="32"/>
          <w:shd w:val="clear" w:color="auto" w:fill="FFFFFF"/>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color w:val="auto"/>
          <w:kern w:val="0"/>
          <w:sz w:val="32"/>
          <w:szCs w:val="32"/>
        </w:rPr>
      </w:pPr>
      <w:r>
        <w:rPr>
          <w:rFonts w:hint="eastAsia" w:ascii="黑体" w:hAnsi="黑体" w:eastAsia="黑体" w:cs="黑体"/>
          <w:b/>
          <w:bCs/>
          <w:color w:val="auto"/>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textAlignment w:val="auto"/>
        <w:rPr>
          <w:rFonts w:eastAsia="仿宋_GB2312"/>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方正小标宋_GBK"/>
          <w:bCs/>
          <w:color w:val="auto"/>
          <w:kern w:val="0"/>
          <w:sz w:val="36"/>
          <w:szCs w:val="36"/>
        </w:rPr>
      </w:pPr>
      <w:r>
        <w:rPr>
          <w:rFonts w:hint="eastAsia" w:ascii="黑体" w:hAnsi="黑体" w:eastAsia="黑体" w:cs="黑体"/>
          <w:b/>
          <w:color w:val="auto"/>
          <w:kern w:val="0"/>
          <w:sz w:val="44"/>
          <w:szCs w:val="44"/>
        </w:rPr>
        <w:t>第一部分 2021年部门预算说明</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eastAsia="仿宋_GB2312"/>
          <w:b/>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color w:val="auto"/>
          <w:kern w:val="0"/>
          <w:sz w:val="32"/>
          <w:szCs w:val="32"/>
        </w:rPr>
      </w:pPr>
      <w:r>
        <w:rPr>
          <w:rFonts w:eastAsia="黑体"/>
          <w:bCs/>
          <w:color w:val="auto"/>
          <w:kern w:val="0"/>
          <w:sz w:val="32"/>
          <w:szCs w:val="32"/>
        </w:rPr>
        <w:t>一、部门基本概况</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（一）职能职责</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（1）贯彻执行国家、省、市关于医疗保险、生育保险、医疗救助等医疗保障制度的法律法规和规章制度。</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（2）贯彻执行市医疗保险、生育保险、医疗救助等医疗保障制度的政策、规划和标准，并组织实施。对全区医疗保障工作进行综合管理、监督指导、协调服务。</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（3）组织实施全区医疗保障基金监督管理工作，监督管理相关医疗保障基金，建立健全医疗保障基金安全防控机制，推进医疗保障基金支付方式改革。</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（4）贯彻执行市医疗保障筹资和待遇政策，完善动态调整和区域调剂平衡机制，统筹城乡医疗保障待遇标准，组织实施长期护理保险等补充医疗保险制度改革。</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（5）贯彻执行省、市城乡统一的药品、医用耗材、医疗服务项目、医疗服务设施等医保目录和支付标准，建立健全全区医药服务价格执行监管和信息监测制度。</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（6）贯彻执行市药品、医用耗材的招标采购政策，指导、监督药品、医用耗材招标采购工作。</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（7）贯彻执行市定点医药机构协议和支付管理办法，建立健全医疗保障信用评价体系和信息披露制度，监督管理纳入医保范围内的医疗服务行为和医疗费用，依法查处医疗保障领域违法违规行为。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8）负责区本级医疗保障经办管理。负责建立全区医疗保障公共服务体系，会同数据资源主管部门推进全区医疗保障信息化建设。指导和监督全区医疗保险、生育保险、医疗救助等医疗保障业务工作。执行异地就医管理和费用结算政策。建立健全医疗保障关系转移接续制度。开展医疗保障领域对外合作交流。</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（9）完成区委、区政府交办的其他任务。</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10）职能转变。贯彻执行市城乡居民基本医疗保险制度和大病保险制度，巩固完善城乡医疗救助制度，建立健全覆盖全民、城乡统筹的多层次医疗保障体系，不断提高医疗保障水平，确保医保资金合理使用、安全可控，推进医疗、医保、医药“三医联动”改革，更好保障人民群众就医需求、减轻医药费用负担。</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（11）与区卫生健康局的有关职责分工。区卫生健康局、区医保局等部门在医疗、医保、医药等方面加强制度、政策衔接，建立沟通协商机制，协同推进改革，提高医疗资源使用效率和医疗保障水平。</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textAlignment w:val="auto"/>
        <w:rPr>
          <w:rFonts w:ascii="仿宋" w:hAnsi="仿宋" w:eastAsia="仿宋" w:cs="仿宋"/>
          <w:bCs/>
          <w:color w:val="auto"/>
          <w:sz w:val="32"/>
          <w:szCs w:val="32"/>
        </w:rPr>
      </w:pPr>
      <w:r>
        <w:rPr>
          <w:rFonts w:hint="eastAsia" w:ascii="仿宋" w:hAnsi="仿宋" w:eastAsia="仿宋" w:cs="仿宋"/>
          <w:b/>
          <w:color w:val="auto"/>
          <w:sz w:val="32"/>
          <w:szCs w:val="32"/>
        </w:rPr>
        <w:t>（二）机构设置。</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textAlignment w:val="auto"/>
        <w:rPr>
          <w:rFonts w:ascii="仿宋" w:hAnsi="仿宋" w:eastAsia="仿宋" w:cs="仿宋"/>
          <w:bCs/>
          <w:color w:val="auto"/>
          <w:sz w:val="32"/>
          <w:szCs w:val="32"/>
        </w:rPr>
      </w:pPr>
      <w:r>
        <w:rPr>
          <w:rFonts w:hint="eastAsia" w:ascii="仿宋" w:hAnsi="仿宋" w:eastAsia="仿宋" w:cs="仿宋"/>
          <w:bCs/>
          <w:color w:val="auto"/>
          <w:sz w:val="32"/>
          <w:szCs w:val="32"/>
        </w:rPr>
        <w:t>我局是2019年政府机构改革设立的行政部门，设置文号为长沙市开福区委文件：开发【2019】1号。我局设下列办公室、医药保障科和基金监管科三个内设机构。属区级独立的财务核算部门。单位人员情况：区医保局核定机关行政编制5名。领导职数为：局长1名（乡科级正职），副局长2名（乡科级副职）。核定区医保局所属事业单位事业编制6名。目前实有行政编制人员6名，事业编制人员6人，聘用人员5人。</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color w:val="auto"/>
          <w:kern w:val="0"/>
          <w:sz w:val="32"/>
          <w:szCs w:val="32"/>
        </w:rPr>
      </w:pPr>
      <w:r>
        <w:rPr>
          <w:rFonts w:eastAsia="黑体"/>
          <w:color w:val="auto"/>
          <w:kern w:val="0"/>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27" w:firstLineChars="196"/>
        <w:textAlignment w:val="auto"/>
        <w:rPr>
          <w:rFonts w:ascii="仿宋" w:hAnsi="仿宋" w:eastAsia="仿宋" w:cs="仿宋"/>
          <w:color w:val="auto"/>
          <w:sz w:val="32"/>
          <w:szCs w:val="32"/>
        </w:rPr>
      </w:pPr>
      <w:r>
        <w:rPr>
          <w:rFonts w:hint="eastAsia" w:ascii="仿宋" w:hAnsi="仿宋" w:eastAsia="仿宋" w:cs="仿宋"/>
          <w:color w:val="auto"/>
          <w:sz w:val="32"/>
          <w:szCs w:val="32"/>
        </w:rPr>
        <w:t>医疗保障局部门只有本级，没有其他预算单位，因此本部门预算仅含本级预算。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color w:val="auto"/>
          <w:kern w:val="0"/>
          <w:sz w:val="32"/>
          <w:szCs w:val="32"/>
        </w:rPr>
      </w:pPr>
      <w:r>
        <w:rPr>
          <w:rFonts w:hint="eastAsia" w:eastAsia="黑体"/>
          <w:bCs/>
          <w:color w:val="auto"/>
          <w:kern w:val="0"/>
          <w:sz w:val="32"/>
          <w:szCs w:val="32"/>
        </w:rPr>
        <w:t>三、</w:t>
      </w:r>
      <w:r>
        <w:rPr>
          <w:rFonts w:eastAsia="黑体"/>
          <w:bCs/>
          <w:color w:val="auto"/>
          <w:kern w:val="0"/>
          <w:sz w:val="32"/>
          <w:szCs w:val="32"/>
        </w:rPr>
        <w:t>部门收支总体情况</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textAlignment w:val="auto"/>
        <w:rPr>
          <w:rFonts w:ascii="仿宋" w:hAnsi="仿宋" w:eastAsia="仿宋" w:cs="仿宋"/>
          <w:bCs/>
          <w:color w:val="auto"/>
          <w:sz w:val="32"/>
          <w:szCs w:val="32"/>
        </w:rPr>
      </w:pPr>
      <w:r>
        <w:rPr>
          <w:rFonts w:hint="eastAsia" w:ascii="仿宋" w:hAnsi="仿宋" w:eastAsia="仿宋" w:cs="仿宋"/>
          <w:b/>
          <w:color w:val="auto"/>
          <w:sz w:val="32"/>
          <w:szCs w:val="32"/>
        </w:rPr>
        <w:t>（一）收入预算：</w:t>
      </w:r>
      <w:r>
        <w:rPr>
          <w:rFonts w:hint="eastAsia" w:ascii="仿宋" w:hAnsi="仿宋" w:eastAsia="仿宋" w:cs="仿宋"/>
          <w:color w:val="auto"/>
          <w:sz w:val="32"/>
          <w:szCs w:val="32"/>
        </w:rPr>
        <w:t>包括一般公共预算、政府性基金、国有资本经营预算等财政拨款收入，以及经营收入、事业收入等单位资金。2021年本部门收入预算</w:t>
      </w:r>
      <w:r>
        <w:rPr>
          <w:rFonts w:ascii="仿宋" w:hAnsi="仿宋" w:eastAsia="仿宋" w:cs="仿宋"/>
          <w:color w:val="auto"/>
          <w:sz w:val="32"/>
          <w:szCs w:val="32"/>
        </w:rPr>
        <w:t>3570.9</w:t>
      </w:r>
      <w:r>
        <w:rPr>
          <w:rFonts w:hint="eastAsia" w:ascii="仿宋" w:hAnsi="仿宋" w:eastAsia="仿宋" w:cs="仿宋"/>
          <w:color w:val="auto"/>
          <w:sz w:val="32"/>
          <w:szCs w:val="32"/>
        </w:rPr>
        <w:t>万元，其中：一般公共预算拨款</w:t>
      </w:r>
      <w:r>
        <w:rPr>
          <w:rFonts w:ascii="仿宋" w:hAnsi="仿宋" w:eastAsia="仿宋" w:cs="仿宋"/>
          <w:color w:val="auto"/>
          <w:sz w:val="32"/>
          <w:szCs w:val="32"/>
        </w:rPr>
        <w:t>3565</w:t>
      </w:r>
      <w:r>
        <w:rPr>
          <w:rFonts w:hint="eastAsia" w:ascii="仿宋" w:hAnsi="仿宋" w:eastAsia="仿宋" w:cs="仿宋"/>
          <w:color w:val="auto"/>
          <w:sz w:val="32"/>
          <w:szCs w:val="32"/>
        </w:rPr>
        <w:t>万元，政府性基金预算拨款</w:t>
      </w:r>
      <w:r>
        <w:rPr>
          <w:rFonts w:ascii="仿宋" w:hAnsi="仿宋" w:eastAsia="仿宋" w:cs="仿宋"/>
          <w:color w:val="auto"/>
          <w:sz w:val="32"/>
          <w:szCs w:val="32"/>
        </w:rPr>
        <w:t>5.9</w:t>
      </w:r>
      <w:r>
        <w:rPr>
          <w:rFonts w:hint="eastAsia" w:ascii="仿宋" w:hAnsi="仿宋" w:eastAsia="仿宋" w:cs="仿宋"/>
          <w:color w:val="auto"/>
          <w:sz w:val="32"/>
          <w:szCs w:val="32"/>
        </w:rPr>
        <w:t>万元，</w:t>
      </w:r>
      <w:r>
        <w:rPr>
          <w:rFonts w:hint="eastAsia" w:ascii="仿宋" w:hAnsi="仿宋" w:eastAsia="仿宋" w:cs="仿宋"/>
          <w:bCs/>
          <w:color w:val="auto"/>
          <w:sz w:val="32"/>
          <w:szCs w:val="32"/>
        </w:rPr>
        <w:t>较上年减少119.69万元，减少3.2%，主要是因为20年受疫情影响，就医人数减少导致医疗救助实际支出数比预算数少，21年相应减少了医疗救助预算数。</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textAlignment w:val="auto"/>
        <w:rPr>
          <w:rFonts w:ascii="仿宋" w:hAnsi="仿宋" w:eastAsia="仿宋" w:cs="仿宋"/>
          <w:bCs/>
          <w:color w:val="auto"/>
          <w:sz w:val="32"/>
          <w:szCs w:val="32"/>
        </w:rPr>
      </w:pPr>
      <w:r>
        <w:rPr>
          <w:rFonts w:hint="eastAsia" w:ascii="仿宋" w:hAnsi="仿宋" w:eastAsia="仿宋" w:cs="仿宋"/>
          <w:b/>
          <w:color w:val="auto"/>
          <w:sz w:val="32"/>
          <w:szCs w:val="32"/>
        </w:rPr>
        <w:t>（二）支出预算：</w:t>
      </w:r>
      <w:r>
        <w:rPr>
          <w:rFonts w:hint="eastAsia" w:ascii="仿宋" w:hAnsi="仿宋" w:eastAsia="仿宋" w:cs="仿宋"/>
          <w:bCs/>
          <w:color w:val="auto"/>
          <w:sz w:val="32"/>
          <w:szCs w:val="32"/>
        </w:rPr>
        <w:t>2021年本部门支出预算</w:t>
      </w:r>
      <w:r>
        <w:rPr>
          <w:rFonts w:ascii="仿宋" w:hAnsi="仿宋" w:eastAsia="仿宋" w:cs="仿宋"/>
          <w:bCs/>
          <w:color w:val="auto"/>
          <w:sz w:val="32"/>
          <w:szCs w:val="32"/>
        </w:rPr>
        <w:t>3570.9</w:t>
      </w:r>
      <w:r>
        <w:rPr>
          <w:rFonts w:hint="eastAsia" w:ascii="仿宋" w:hAnsi="仿宋" w:eastAsia="仿宋" w:cs="仿宋"/>
          <w:bCs/>
          <w:color w:val="auto"/>
          <w:sz w:val="32"/>
          <w:szCs w:val="32"/>
        </w:rPr>
        <w:t>万元，</w:t>
      </w:r>
      <w:r>
        <w:rPr>
          <w:rFonts w:hint="eastAsia" w:ascii="仿宋" w:hAnsi="仿宋" w:eastAsia="仿宋" w:cs="仿宋"/>
          <w:bCs/>
          <w:color w:val="auto"/>
          <w:sz w:val="32"/>
          <w:szCs w:val="32"/>
        </w:rPr>
        <w:t>其中，社会保障和就业</w:t>
      </w:r>
      <w:r>
        <w:rPr>
          <w:rFonts w:ascii="仿宋" w:hAnsi="仿宋" w:eastAsia="仿宋" w:cs="仿宋"/>
          <w:bCs/>
          <w:color w:val="auto"/>
          <w:sz w:val="32"/>
          <w:szCs w:val="32"/>
        </w:rPr>
        <w:t>35.73</w:t>
      </w:r>
      <w:r>
        <w:rPr>
          <w:rFonts w:hint="eastAsia" w:ascii="仿宋" w:hAnsi="仿宋" w:eastAsia="仿宋" w:cs="仿宋"/>
          <w:bCs/>
          <w:color w:val="auto"/>
          <w:sz w:val="32"/>
          <w:szCs w:val="32"/>
        </w:rPr>
        <w:t>万元，卫生</w:t>
      </w:r>
      <w:r>
        <w:rPr>
          <w:rFonts w:hint="eastAsia" w:ascii="仿宋" w:hAnsi="仿宋" w:eastAsia="仿宋" w:cs="仿宋"/>
          <w:bCs/>
          <w:color w:val="auto"/>
          <w:sz w:val="32"/>
          <w:szCs w:val="32"/>
          <w:lang w:val="en-US" w:eastAsia="zh-CN"/>
        </w:rPr>
        <w:t>健康</w:t>
      </w:r>
      <w:r>
        <w:rPr>
          <w:rFonts w:hint="eastAsia" w:ascii="仿宋" w:hAnsi="仿宋" w:eastAsia="仿宋" w:cs="仿宋"/>
          <w:bCs/>
          <w:color w:val="auto"/>
          <w:sz w:val="32"/>
          <w:szCs w:val="32"/>
        </w:rPr>
        <w:t>支出3</w:t>
      </w:r>
      <w:r>
        <w:rPr>
          <w:rFonts w:ascii="仿宋" w:hAnsi="仿宋" w:eastAsia="仿宋" w:cs="仿宋"/>
          <w:bCs/>
          <w:color w:val="auto"/>
          <w:sz w:val="32"/>
          <w:szCs w:val="32"/>
        </w:rPr>
        <w:t>507.88</w:t>
      </w:r>
      <w:r>
        <w:rPr>
          <w:rFonts w:hint="eastAsia" w:ascii="仿宋" w:hAnsi="仿宋" w:eastAsia="仿宋" w:cs="仿宋"/>
          <w:bCs/>
          <w:color w:val="auto"/>
          <w:sz w:val="32"/>
          <w:szCs w:val="32"/>
        </w:rPr>
        <w:t>万元，住房保障支出</w:t>
      </w:r>
      <w:r>
        <w:rPr>
          <w:rFonts w:ascii="仿宋" w:hAnsi="仿宋" w:eastAsia="仿宋" w:cs="仿宋"/>
          <w:bCs/>
          <w:color w:val="auto"/>
          <w:sz w:val="32"/>
          <w:szCs w:val="32"/>
        </w:rPr>
        <w:t>27.29</w:t>
      </w:r>
      <w:r>
        <w:rPr>
          <w:rFonts w:hint="eastAsia" w:ascii="仿宋" w:hAnsi="仿宋" w:eastAsia="仿宋" w:cs="仿宋"/>
          <w:bCs/>
          <w:color w:val="auto"/>
          <w:sz w:val="32"/>
          <w:szCs w:val="32"/>
        </w:rPr>
        <w:t>万元，支出较去年减少1</w:t>
      </w:r>
      <w:r>
        <w:rPr>
          <w:rFonts w:ascii="仿宋" w:hAnsi="仿宋" w:eastAsia="仿宋" w:cs="仿宋"/>
          <w:bCs/>
          <w:color w:val="auto"/>
          <w:sz w:val="32"/>
          <w:szCs w:val="32"/>
        </w:rPr>
        <w:t>19.69</w:t>
      </w:r>
      <w:r>
        <w:rPr>
          <w:rFonts w:hint="eastAsia" w:ascii="仿宋" w:hAnsi="仿宋" w:eastAsia="仿宋" w:cs="仿宋"/>
          <w:bCs/>
          <w:color w:val="auto"/>
          <w:sz w:val="32"/>
          <w:szCs w:val="32"/>
        </w:rPr>
        <w:t>万元，下降3</w:t>
      </w:r>
      <w:r>
        <w:rPr>
          <w:rFonts w:ascii="仿宋" w:hAnsi="仿宋" w:eastAsia="仿宋" w:cs="仿宋"/>
          <w:bCs/>
          <w:color w:val="auto"/>
          <w:sz w:val="32"/>
          <w:szCs w:val="32"/>
        </w:rPr>
        <w:t>.2</w:t>
      </w:r>
      <w:r>
        <w:rPr>
          <w:rFonts w:hint="eastAsia" w:ascii="仿宋" w:hAnsi="仿宋" w:eastAsia="仿宋" w:cs="仿宋"/>
          <w:bCs/>
          <w:color w:val="auto"/>
          <w:sz w:val="32"/>
          <w:szCs w:val="32"/>
        </w:rPr>
        <w:t>%，</w:t>
      </w:r>
      <w:r>
        <w:rPr>
          <w:rFonts w:hint="eastAsia" w:ascii="仿宋" w:hAnsi="仿宋" w:eastAsia="仿宋" w:cs="仿宋"/>
          <w:bCs/>
          <w:color w:val="auto"/>
          <w:sz w:val="32"/>
          <w:szCs w:val="32"/>
        </w:rPr>
        <w:t>主要是因为20年受疫情影响，就医人数减少导致医疗救助实际支出数比预算数少，21年相应减少了医疗救助预算数。</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auto"/>
          <w:sz w:val="32"/>
          <w:szCs w:val="32"/>
        </w:rPr>
      </w:pPr>
      <w:r>
        <w:rPr>
          <w:rFonts w:eastAsia="黑体"/>
          <w:color w:val="auto"/>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仿宋" w:hAnsi="仿宋" w:eastAsia="仿宋"/>
          <w:color w:val="auto"/>
          <w:sz w:val="32"/>
          <w:szCs w:val="32"/>
        </w:rPr>
      </w:pPr>
      <w:r>
        <w:rPr>
          <w:rFonts w:hint="eastAsia" w:ascii="仿宋" w:hAnsi="仿宋" w:eastAsia="仿宋" w:cs="仿宋"/>
          <w:color w:val="auto"/>
          <w:sz w:val="32"/>
          <w:szCs w:val="32"/>
        </w:rPr>
        <w:t>2021年本部门一般公共预算拨款支出预算</w:t>
      </w:r>
      <w:r>
        <w:rPr>
          <w:rFonts w:ascii="仿宋" w:hAnsi="仿宋" w:eastAsia="仿宋" w:cs="仿宋"/>
          <w:color w:val="auto"/>
          <w:sz w:val="32"/>
          <w:szCs w:val="32"/>
        </w:rPr>
        <w:t>3565</w:t>
      </w:r>
      <w:r>
        <w:rPr>
          <w:rFonts w:hint="eastAsia" w:ascii="仿宋" w:hAnsi="仿宋" w:eastAsia="仿宋" w:cs="仿宋"/>
          <w:color w:val="auto"/>
          <w:sz w:val="32"/>
          <w:szCs w:val="32"/>
        </w:rPr>
        <w:t>万元，其中，</w:t>
      </w:r>
      <w:r>
        <w:rPr>
          <w:rFonts w:hint="eastAsia" w:eastAsia="仿宋_GB2312"/>
          <w:color w:val="auto"/>
          <w:sz w:val="32"/>
          <w:szCs w:val="32"/>
        </w:rPr>
        <w:t>社会保障和就业</w:t>
      </w:r>
      <w:r>
        <w:rPr>
          <w:rFonts w:ascii="仿宋" w:hAnsi="仿宋" w:eastAsia="仿宋" w:cs="仿宋"/>
          <w:color w:val="auto"/>
          <w:sz w:val="32"/>
          <w:szCs w:val="32"/>
        </w:rPr>
        <w:t>35.73</w:t>
      </w:r>
      <w:r>
        <w:rPr>
          <w:rFonts w:hint="eastAsia" w:ascii="仿宋" w:hAnsi="仿宋" w:eastAsia="仿宋" w:cs="仿宋"/>
          <w:color w:val="auto"/>
          <w:sz w:val="32"/>
          <w:szCs w:val="32"/>
        </w:rPr>
        <w:t>万元</w:t>
      </w:r>
      <w:r>
        <w:rPr>
          <w:rFonts w:hint="eastAsia" w:ascii="仿宋" w:hAnsi="仿宋" w:eastAsia="仿宋"/>
          <w:color w:val="auto"/>
          <w:sz w:val="32"/>
          <w:szCs w:val="32"/>
        </w:rPr>
        <w:t>，</w:t>
      </w:r>
      <w:r>
        <w:rPr>
          <w:rFonts w:ascii="仿宋" w:hAnsi="仿宋" w:eastAsia="仿宋"/>
          <w:color w:val="auto"/>
          <w:sz w:val="32"/>
          <w:szCs w:val="32"/>
        </w:rPr>
        <w:t>占</w:t>
      </w:r>
      <w:r>
        <w:rPr>
          <w:rFonts w:ascii="仿宋" w:hAnsi="仿宋" w:eastAsia="仿宋" w:cs="仿宋"/>
          <w:color w:val="auto"/>
          <w:sz w:val="32"/>
          <w:szCs w:val="32"/>
        </w:rPr>
        <w:t>1</w:t>
      </w:r>
      <w:r>
        <w:rPr>
          <w:rFonts w:hint="eastAsia" w:ascii="仿宋" w:hAnsi="仿宋" w:eastAsia="仿宋"/>
          <w:color w:val="auto"/>
          <w:sz w:val="32"/>
          <w:szCs w:val="32"/>
        </w:rPr>
        <w:t>%；医疗卫生与计划生育支出3</w:t>
      </w:r>
      <w:r>
        <w:rPr>
          <w:rFonts w:ascii="仿宋" w:hAnsi="仿宋" w:eastAsia="仿宋"/>
          <w:color w:val="auto"/>
          <w:sz w:val="32"/>
          <w:szCs w:val="32"/>
        </w:rPr>
        <w:t>501.98</w:t>
      </w:r>
      <w:r>
        <w:rPr>
          <w:rFonts w:hint="eastAsia" w:ascii="仿宋" w:hAnsi="仿宋" w:eastAsia="仿宋"/>
          <w:color w:val="auto"/>
          <w:sz w:val="32"/>
          <w:szCs w:val="32"/>
        </w:rPr>
        <w:t>，</w:t>
      </w:r>
      <w:r>
        <w:rPr>
          <w:rFonts w:ascii="仿宋" w:hAnsi="仿宋" w:eastAsia="仿宋"/>
          <w:color w:val="auto"/>
          <w:sz w:val="32"/>
          <w:szCs w:val="32"/>
        </w:rPr>
        <w:t>占</w:t>
      </w:r>
      <w:r>
        <w:rPr>
          <w:rFonts w:ascii="仿宋" w:hAnsi="仿宋" w:eastAsia="仿宋" w:cs="仿宋"/>
          <w:color w:val="auto"/>
          <w:sz w:val="32"/>
          <w:szCs w:val="32"/>
        </w:rPr>
        <w:t>98.23</w:t>
      </w:r>
      <w:r>
        <w:rPr>
          <w:rFonts w:hint="eastAsia" w:ascii="仿宋" w:hAnsi="仿宋" w:eastAsia="仿宋"/>
          <w:color w:val="auto"/>
          <w:sz w:val="32"/>
          <w:szCs w:val="32"/>
        </w:rPr>
        <w:t>%</w:t>
      </w:r>
      <w:r>
        <w:rPr>
          <w:rFonts w:ascii="仿宋" w:hAnsi="仿宋" w:eastAsia="仿宋"/>
          <w:color w:val="auto"/>
          <w:sz w:val="32"/>
          <w:szCs w:val="32"/>
        </w:rPr>
        <w:t>；</w:t>
      </w:r>
      <w:r>
        <w:rPr>
          <w:rFonts w:hint="eastAsia" w:ascii="仿宋" w:hAnsi="仿宋" w:eastAsia="仿宋"/>
          <w:color w:val="auto"/>
          <w:sz w:val="32"/>
          <w:szCs w:val="32"/>
        </w:rPr>
        <w:t>住房保障支出</w:t>
      </w:r>
      <w:r>
        <w:rPr>
          <w:rFonts w:ascii="仿宋" w:hAnsi="仿宋" w:eastAsia="仿宋" w:cs="仿宋"/>
          <w:color w:val="auto"/>
          <w:sz w:val="32"/>
          <w:szCs w:val="32"/>
        </w:rPr>
        <w:t>27.29</w:t>
      </w:r>
      <w:r>
        <w:rPr>
          <w:rFonts w:hint="eastAsia" w:ascii="仿宋" w:hAnsi="仿宋" w:eastAsia="仿宋"/>
          <w:color w:val="auto"/>
          <w:sz w:val="32"/>
          <w:szCs w:val="32"/>
        </w:rPr>
        <w:t>万元，</w:t>
      </w:r>
      <w:r>
        <w:rPr>
          <w:rFonts w:ascii="仿宋" w:hAnsi="仿宋" w:eastAsia="仿宋"/>
          <w:color w:val="auto"/>
          <w:sz w:val="32"/>
          <w:szCs w:val="32"/>
        </w:rPr>
        <w:t>占</w:t>
      </w:r>
      <w:r>
        <w:rPr>
          <w:rFonts w:ascii="仿宋" w:hAnsi="仿宋" w:eastAsia="仿宋" w:cs="仿宋"/>
          <w:color w:val="auto"/>
          <w:sz w:val="32"/>
          <w:szCs w:val="32"/>
        </w:rPr>
        <w:t>0.77</w:t>
      </w:r>
      <w:r>
        <w:rPr>
          <w:rFonts w:hint="eastAsia" w:ascii="仿宋" w:hAnsi="仿宋" w:eastAsia="仿宋"/>
          <w:color w:val="auto"/>
          <w:sz w:val="32"/>
          <w:szCs w:val="32"/>
        </w:rPr>
        <w:t>%</w:t>
      </w:r>
      <w:r>
        <w:rPr>
          <w:rFonts w:hint="eastAsia" w:ascii="仿宋" w:hAnsi="仿宋" w:eastAsia="仿宋" w:cs="仿宋"/>
          <w:color w:val="auto"/>
          <w:sz w:val="32"/>
          <w:szCs w:val="32"/>
        </w:rPr>
        <w:t>。具体安排情况如下：</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仿宋" w:hAnsi="仿宋" w:eastAsia="仿宋" w:cs="仿宋"/>
          <w:color w:val="auto"/>
          <w:sz w:val="32"/>
          <w:szCs w:val="32"/>
        </w:rPr>
      </w:pPr>
      <w:r>
        <w:rPr>
          <w:rFonts w:hint="eastAsia" w:ascii="仿宋" w:hAnsi="仿宋" w:eastAsia="仿宋" w:cs="仿宋"/>
          <w:b/>
          <w:color w:val="auto"/>
          <w:sz w:val="32"/>
          <w:szCs w:val="32"/>
        </w:rPr>
        <w:t>（一）基本支出：2021</w:t>
      </w:r>
      <w:r>
        <w:rPr>
          <w:rFonts w:hint="eastAsia" w:ascii="仿宋" w:hAnsi="仿宋" w:eastAsia="仿宋" w:cs="仿宋"/>
          <w:color w:val="auto"/>
          <w:sz w:val="32"/>
          <w:szCs w:val="32"/>
        </w:rPr>
        <w:t>年本部门基本支出预算数</w:t>
      </w:r>
      <w:r>
        <w:rPr>
          <w:rFonts w:ascii="仿宋" w:hAnsi="仿宋" w:eastAsia="仿宋" w:cs="仿宋"/>
          <w:color w:val="auto"/>
          <w:sz w:val="32"/>
          <w:szCs w:val="32"/>
        </w:rPr>
        <w:t>434</w:t>
      </w:r>
      <w:r>
        <w:rPr>
          <w:rFonts w:hint="eastAsia" w:ascii="仿宋" w:hAnsi="仿宋" w:eastAsia="仿宋" w:cs="仿宋"/>
          <w:color w:val="auto"/>
          <w:sz w:val="32"/>
          <w:szCs w:val="32"/>
        </w:rPr>
        <w:t>万元，主要是为保障部门正常运转、完成日常工作任务而发生的各项支出，包括用于基本工资、津贴补贴等人员经费以及办公费、印刷费、水电费、办公设备购置等公用经费。</w:t>
      </w:r>
    </w:p>
    <w:p>
      <w:pPr>
        <w:widowControl/>
        <w:spacing w:line="600" w:lineRule="exact"/>
        <w:ind w:firstLine="660"/>
        <w:jc w:val="left"/>
        <w:rPr>
          <w:rFonts w:ascii="仿宋" w:hAnsi="仿宋" w:eastAsia="仿宋" w:cs="仿宋"/>
          <w:color w:val="auto"/>
          <w:sz w:val="32"/>
          <w:szCs w:val="32"/>
          <w:highlight w:val="none"/>
        </w:rPr>
      </w:pPr>
      <w:r>
        <w:rPr>
          <w:rFonts w:hint="eastAsia" w:ascii="仿宋" w:hAnsi="仿宋" w:eastAsia="仿宋" w:cs="仿宋"/>
          <w:b/>
          <w:color w:val="auto"/>
          <w:sz w:val="32"/>
          <w:szCs w:val="32"/>
        </w:rPr>
        <w:t>（二）项目支出：2021</w:t>
      </w:r>
      <w:r>
        <w:rPr>
          <w:rFonts w:hint="eastAsia" w:ascii="仿宋" w:hAnsi="仿宋" w:eastAsia="仿宋" w:cs="仿宋"/>
          <w:color w:val="auto"/>
          <w:sz w:val="32"/>
          <w:szCs w:val="32"/>
        </w:rPr>
        <w:t>年本部门项目支出预算</w:t>
      </w:r>
      <w:r>
        <w:rPr>
          <w:rFonts w:ascii="仿宋" w:hAnsi="仿宋" w:eastAsia="仿宋" w:cs="仿宋"/>
          <w:color w:val="auto"/>
          <w:sz w:val="32"/>
          <w:szCs w:val="32"/>
        </w:rPr>
        <w:t>3131</w:t>
      </w:r>
      <w:r>
        <w:rPr>
          <w:rFonts w:hint="eastAsia" w:ascii="仿宋" w:hAnsi="仿宋" w:eastAsia="仿宋" w:cs="仿宋"/>
          <w:color w:val="auto"/>
          <w:sz w:val="32"/>
          <w:szCs w:val="32"/>
        </w:rPr>
        <w:t>万元，主要是部门为完成特定行政工作任务或事业发展目标而发生的支出，包括有关事业发展专项、专项业务费、基本建设支出等，</w:t>
      </w:r>
      <w:r>
        <w:rPr>
          <w:rFonts w:hint="eastAsia" w:ascii="仿宋" w:hAnsi="仿宋" w:eastAsia="仿宋" w:cs="仿宋"/>
          <w:color w:val="auto"/>
          <w:sz w:val="32"/>
          <w:szCs w:val="32"/>
          <w:highlight w:val="none"/>
        </w:rPr>
        <w:t>其中：支出426万元，主要用于报销离休干部、1-6级伤残军人医疗费用；支出150万元，主要用于补助特困企业退休职工医疗保险；支出1700万元，主要用于对城乡居民基本医疗保险基金的补助；支出700万元，主要用于对特困家庭医疗救助；支出80万元，主要用于对精神病药物救助；支出57万元，主要为医保专项经费；支出24万元，主要用于支付社区书记商业保险及体检费用。</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auto"/>
          <w:sz w:val="32"/>
          <w:szCs w:val="32"/>
        </w:rPr>
      </w:pPr>
      <w:r>
        <w:rPr>
          <w:rFonts w:eastAsia="黑体"/>
          <w:color w:val="auto"/>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仿宋" w:hAnsi="仿宋" w:eastAsia="仿宋" w:cs="仿宋"/>
          <w:color w:val="auto"/>
          <w:sz w:val="32"/>
          <w:szCs w:val="32"/>
        </w:rPr>
      </w:pPr>
      <w:r>
        <w:rPr>
          <w:rFonts w:hint="eastAsia" w:ascii="仿宋" w:hAnsi="仿宋" w:eastAsia="仿宋" w:cs="仿宋"/>
          <w:color w:val="auto"/>
          <w:sz w:val="32"/>
          <w:szCs w:val="32"/>
        </w:rPr>
        <w:t>2021年本部门无政府性基金支出预算安排</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auto"/>
          <w:sz w:val="32"/>
          <w:szCs w:val="32"/>
        </w:rPr>
      </w:pPr>
      <w:r>
        <w:rPr>
          <w:rFonts w:eastAsia="黑体"/>
          <w:color w:val="auto"/>
          <w:sz w:val="32"/>
          <w:szCs w:val="32"/>
        </w:rPr>
        <w:t>六、其他重要事项的情况说明</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textAlignment w:val="auto"/>
        <w:rPr>
          <w:rFonts w:ascii="仿宋" w:hAnsi="仿宋" w:eastAsia="仿宋" w:cs="仿宋"/>
          <w:bCs/>
          <w:color w:val="auto"/>
          <w:sz w:val="32"/>
          <w:szCs w:val="32"/>
        </w:rPr>
      </w:pPr>
      <w:r>
        <w:rPr>
          <w:rFonts w:hint="eastAsia" w:ascii="仿宋" w:hAnsi="仿宋" w:eastAsia="仿宋" w:cs="仿宋"/>
          <w:b/>
          <w:color w:val="auto"/>
          <w:sz w:val="32"/>
          <w:szCs w:val="32"/>
        </w:rPr>
        <w:t>（一）机关运行经费：</w:t>
      </w:r>
      <w:r>
        <w:rPr>
          <w:rFonts w:hint="eastAsia" w:ascii="仿宋" w:hAnsi="仿宋" w:eastAsia="仿宋" w:cs="仿宋"/>
          <w:bCs/>
          <w:color w:val="auto"/>
          <w:sz w:val="32"/>
          <w:szCs w:val="32"/>
        </w:rPr>
        <w:t>2021我局机关运行经费财政拨款预算</w:t>
      </w:r>
      <w:r>
        <w:rPr>
          <w:rFonts w:hint="eastAsia" w:ascii="仿宋" w:hAnsi="仿宋" w:eastAsia="仿宋" w:cs="仿宋"/>
          <w:bCs/>
          <w:color w:val="auto"/>
          <w:sz w:val="32"/>
          <w:szCs w:val="32"/>
          <w:lang w:val="en-US" w:eastAsia="zh-CN"/>
        </w:rPr>
        <w:t>36.95</w:t>
      </w:r>
      <w:r>
        <w:rPr>
          <w:rFonts w:hint="eastAsia" w:ascii="仿宋" w:hAnsi="仿宋" w:eastAsia="仿宋" w:cs="仿宋"/>
          <w:bCs/>
          <w:color w:val="auto"/>
          <w:sz w:val="32"/>
          <w:szCs w:val="32"/>
        </w:rPr>
        <w:t>万元，比2020年预算增加</w:t>
      </w:r>
      <w:r>
        <w:rPr>
          <w:rFonts w:hint="eastAsia" w:ascii="仿宋" w:hAnsi="仿宋" w:eastAsia="仿宋" w:cs="仿宋"/>
          <w:bCs/>
          <w:color w:val="auto"/>
          <w:sz w:val="32"/>
          <w:szCs w:val="32"/>
          <w:lang w:val="en-US" w:eastAsia="zh-CN"/>
        </w:rPr>
        <w:t>10.2</w:t>
      </w:r>
      <w:r>
        <w:rPr>
          <w:rFonts w:hint="eastAsia" w:ascii="仿宋" w:hAnsi="仿宋" w:eastAsia="仿宋" w:cs="仿宋"/>
          <w:bCs/>
          <w:color w:val="auto"/>
          <w:sz w:val="32"/>
          <w:szCs w:val="32"/>
        </w:rPr>
        <w:t>万元，增长</w:t>
      </w:r>
      <w:r>
        <w:rPr>
          <w:rFonts w:hint="eastAsia" w:ascii="仿宋" w:hAnsi="仿宋" w:eastAsia="仿宋" w:cs="仿宋"/>
          <w:bCs/>
          <w:color w:val="auto"/>
          <w:sz w:val="32"/>
          <w:szCs w:val="32"/>
          <w:lang w:val="en-US" w:eastAsia="zh-CN"/>
        </w:rPr>
        <w:t>38.13</w:t>
      </w:r>
      <w:r>
        <w:rPr>
          <w:rFonts w:hint="eastAsia" w:ascii="仿宋" w:hAnsi="仿宋" w:eastAsia="仿宋" w:cs="仿宋"/>
          <w:bCs/>
          <w:color w:val="auto"/>
          <w:sz w:val="32"/>
          <w:szCs w:val="32"/>
        </w:rPr>
        <w:t>%，主要是因为人员增加所致。</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仿宋" w:hAnsi="仿宋" w:eastAsia="仿宋" w:cs="仿宋"/>
          <w:bCs/>
          <w:color w:val="auto"/>
          <w:sz w:val="32"/>
          <w:szCs w:val="32"/>
          <w:lang w:val="en-US" w:eastAsia="zh-CN"/>
        </w:rPr>
      </w:pPr>
      <w:r>
        <w:rPr>
          <w:rFonts w:hint="eastAsia" w:ascii="仿宋" w:hAnsi="仿宋" w:eastAsia="仿宋" w:cs="仿宋"/>
          <w:b/>
          <w:color w:val="auto"/>
          <w:sz w:val="32"/>
          <w:szCs w:val="32"/>
        </w:rPr>
        <w:t>（二）“三公”经费预算：2021</w:t>
      </w:r>
      <w:r>
        <w:rPr>
          <w:rFonts w:hint="eastAsia" w:ascii="仿宋" w:hAnsi="仿宋" w:eastAsia="仿宋" w:cs="仿宋"/>
          <w:color w:val="auto"/>
          <w:sz w:val="32"/>
          <w:szCs w:val="32"/>
        </w:rPr>
        <w:t>年本部门机关本级 “三公”经费预算数为</w:t>
      </w:r>
      <w:r>
        <w:rPr>
          <w:rFonts w:ascii="仿宋" w:hAnsi="仿宋" w:eastAsia="仿宋" w:cs="仿宋"/>
          <w:color w:val="auto"/>
          <w:sz w:val="32"/>
          <w:szCs w:val="32"/>
        </w:rPr>
        <w:t>0</w:t>
      </w:r>
      <w:r>
        <w:rPr>
          <w:rFonts w:hint="eastAsia" w:ascii="仿宋" w:hAnsi="仿宋" w:eastAsia="仿宋" w:cs="仿宋"/>
          <w:color w:val="auto"/>
          <w:sz w:val="32"/>
          <w:szCs w:val="32"/>
        </w:rPr>
        <w:t>万元，其中，公务接待费</w:t>
      </w:r>
      <w:r>
        <w:rPr>
          <w:rFonts w:ascii="仿宋" w:hAnsi="仿宋" w:eastAsia="仿宋" w:cs="仿宋"/>
          <w:color w:val="auto"/>
          <w:sz w:val="32"/>
          <w:szCs w:val="32"/>
        </w:rPr>
        <w:t>0</w:t>
      </w:r>
      <w:r>
        <w:rPr>
          <w:rFonts w:hint="eastAsia" w:ascii="仿宋" w:hAnsi="仿宋" w:eastAsia="仿宋" w:cs="仿宋"/>
          <w:color w:val="auto"/>
          <w:sz w:val="32"/>
          <w:szCs w:val="32"/>
        </w:rPr>
        <w:t>万元，公务用车购置及运行费</w:t>
      </w:r>
      <w:r>
        <w:rPr>
          <w:rFonts w:ascii="仿宋" w:hAnsi="仿宋" w:eastAsia="仿宋" w:cs="仿宋"/>
          <w:color w:val="auto"/>
          <w:sz w:val="32"/>
          <w:szCs w:val="32"/>
        </w:rPr>
        <w:t>0</w:t>
      </w:r>
      <w:r>
        <w:rPr>
          <w:rFonts w:hint="eastAsia" w:ascii="仿宋" w:hAnsi="仿宋" w:eastAsia="仿宋" w:cs="仿宋"/>
          <w:color w:val="auto"/>
          <w:sz w:val="32"/>
          <w:szCs w:val="32"/>
        </w:rPr>
        <w:t>万元（其中，公务用车购置费</w:t>
      </w:r>
      <w:r>
        <w:rPr>
          <w:rFonts w:ascii="仿宋" w:hAnsi="仿宋" w:eastAsia="仿宋" w:cs="仿宋"/>
          <w:color w:val="auto"/>
          <w:sz w:val="32"/>
          <w:szCs w:val="32"/>
        </w:rPr>
        <w:t>0</w:t>
      </w:r>
      <w:r>
        <w:rPr>
          <w:rFonts w:hint="eastAsia" w:ascii="仿宋" w:hAnsi="仿宋" w:eastAsia="仿宋" w:cs="仿宋"/>
          <w:color w:val="auto"/>
          <w:sz w:val="32"/>
          <w:szCs w:val="32"/>
        </w:rPr>
        <w:t>万元，公务用车运行费</w:t>
      </w:r>
      <w:r>
        <w:rPr>
          <w:rFonts w:ascii="仿宋" w:hAnsi="仿宋" w:eastAsia="仿宋" w:cs="仿宋"/>
          <w:color w:val="auto"/>
          <w:sz w:val="32"/>
          <w:szCs w:val="32"/>
        </w:rPr>
        <w:t>0</w:t>
      </w:r>
      <w:r>
        <w:rPr>
          <w:rFonts w:hint="eastAsia" w:ascii="仿宋" w:hAnsi="仿宋" w:eastAsia="仿宋" w:cs="仿宋"/>
          <w:color w:val="auto"/>
          <w:sz w:val="32"/>
          <w:szCs w:val="32"/>
        </w:rPr>
        <w:t>万元），因公出国（境）费</w:t>
      </w:r>
      <w:r>
        <w:rPr>
          <w:rFonts w:ascii="仿宋" w:hAnsi="仿宋" w:eastAsia="仿宋" w:cs="仿宋"/>
          <w:color w:val="auto"/>
          <w:sz w:val="32"/>
          <w:szCs w:val="32"/>
        </w:rPr>
        <w:t>0</w:t>
      </w:r>
      <w:r>
        <w:rPr>
          <w:rFonts w:hint="eastAsia" w:ascii="仿宋" w:hAnsi="仿宋" w:eastAsia="仿宋" w:cs="仿宋"/>
          <w:color w:val="auto"/>
          <w:sz w:val="32"/>
          <w:szCs w:val="32"/>
        </w:rPr>
        <w:t>万元。2021年“三公”经费预算较2020年持平0万元，</w:t>
      </w:r>
      <w:r>
        <w:rPr>
          <w:rFonts w:hint="eastAsia" w:ascii="仿宋" w:hAnsi="仿宋" w:eastAsia="仿宋" w:cs="仿宋"/>
          <w:bCs/>
          <w:color w:val="auto"/>
          <w:sz w:val="32"/>
          <w:szCs w:val="32"/>
          <w:lang w:val="en-US" w:eastAsia="zh-CN"/>
        </w:rPr>
        <w:t>主要原因是厉行节约。</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b/>
          <w:color w:val="auto"/>
          <w:sz w:val="32"/>
          <w:szCs w:val="32"/>
        </w:rPr>
      </w:pPr>
      <w:r>
        <w:rPr>
          <w:rFonts w:hint="eastAsia" w:ascii="仿宋" w:hAnsi="仿宋" w:eastAsia="仿宋" w:cs="仿宋"/>
          <w:b/>
          <w:color w:val="auto"/>
          <w:sz w:val="32"/>
          <w:szCs w:val="32"/>
          <w:highlight w:val="none"/>
          <w:u w:val="none"/>
        </w:rPr>
        <w:t>（三）一般性支出情况：</w:t>
      </w:r>
      <w:r>
        <w:rPr>
          <w:rFonts w:hint="eastAsia" w:ascii="仿宋" w:hAnsi="仿宋" w:eastAsia="仿宋" w:cs="仿宋"/>
          <w:bCs/>
          <w:color w:val="auto"/>
          <w:sz w:val="32"/>
          <w:szCs w:val="32"/>
          <w:highlight w:val="none"/>
          <w:u w:val="none"/>
        </w:rPr>
        <w:t>2021</w:t>
      </w:r>
      <w:r>
        <w:rPr>
          <w:rFonts w:hint="eastAsia" w:ascii="仿宋" w:hAnsi="仿宋" w:eastAsia="仿宋" w:cs="仿宋"/>
          <w:color w:val="auto"/>
          <w:kern w:val="0"/>
          <w:sz w:val="32"/>
          <w:szCs w:val="32"/>
          <w:highlight w:val="none"/>
          <w:u w:val="none"/>
        </w:rPr>
        <w:t>年本部门会议费预算</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kern w:val="0"/>
          <w:sz w:val="32"/>
          <w:szCs w:val="32"/>
          <w:highlight w:val="none"/>
          <w:u w:val="none"/>
        </w:rPr>
        <w:t>万元</w:t>
      </w:r>
      <w:r>
        <w:rPr>
          <w:rFonts w:hint="eastAsia" w:ascii="仿宋" w:hAnsi="仿宋" w:eastAsia="仿宋" w:cs="仿宋"/>
          <w:color w:val="auto"/>
          <w:kern w:val="0"/>
          <w:sz w:val="32"/>
          <w:szCs w:val="32"/>
          <w:highlight w:val="none"/>
          <w:u w:val="none"/>
          <w:lang w:val="en-US" w:eastAsia="zh-CN"/>
        </w:rPr>
        <w:t>0；</w:t>
      </w:r>
      <w:r>
        <w:rPr>
          <w:rFonts w:hint="eastAsia" w:ascii="仿宋" w:hAnsi="仿宋" w:eastAsia="仿宋" w:cs="仿宋"/>
          <w:color w:val="auto"/>
          <w:kern w:val="0"/>
          <w:sz w:val="32"/>
          <w:szCs w:val="32"/>
          <w:highlight w:val="none"/>
          <w:u w:val="none"/>
        </w:rPr>
        <w:t>培训费预算</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kern w:val="0"/>
          <w:sz w:val="32"/>
          <w:szCs w:val="32"/>
          <w:highlight w:val="none"/>
          <w:u w:val="none"/>
        </w:rPr>
        <w:t>万元</w:t>
      </w:r>
      <w:r>
        <w:rPr>
          <w:rFonts w:hint="eastAsia" w:ascii="仿宋" w:hAnsi="仿宋" w:eastAsia="仿宋" w:cs="仿宋"/>
          <w:color w:val="auto"/>
          <w:kern w:val="0"/>
          <w:sz w:val="32"/>
          <w:szCs w:val="32"/>
          <w:highlight w:val="none"/>
          <w:u w:val="none"/>
          <w:lang w:val="en-US" w:eastAsia="zh-CN"/>
        </w:rPr>
        <w:t>0</w:t>
      </w:r>
      <w:r>
        <w:rPr>
          <w:rFonts w:hint="eastAsia" w:ascii="仿宋" w:hAnsi="仿宋" w:eastAsia="仿宋" w:cs="仿宋"/>
          <w:color w:val="auto"/>
          <w:kern w:val="0"/>
          <w:sz w:val="32"/>
          <w:szCs w:val="32"/>
          <w:highlight w:val="none"/>
          <w:u w:val="none"/>
        </w:rPr>
        <w:t>；</w:t>
      </w:r>
      <w:r>
        <w:rPr>
          <w:rFonts w:hint="eastAsia" w:ascii="仿宋" w:hAnsi="仿宋" w:eastAsia="仿宋" w:cs="仿宋"/>
          <w:color w:val="auto"/>
          <w:kern w:val="0"/>
          <w:sz w:val="32"/>
          <w:szCs w:val="32"/>
          <w:highlight w:val="none"/>
          <w:u w:val="none"/>
          <w:lang w:val="en-US" w:eastAsia="zh-CN"/>
        </w:rPr>
        <w:t>未</w:t>
      </w:r>
      <w:r>
        <w:rPr>
          <w:rFonts w:hint="eastAsia" w:ascii="仿宋" w:hAnsi="仿宋" w:eastAsia="仿宋" w:cs="仿宋"/>
          <w:color w:val="auto"/>
          <w:kern w:val="0"/>
          <w:sz w:val="32"/>
          <w:szCs w:val="32"/>
          <w:highlight w:val="none"/>
          <w:u w:val="none"/>
        </w:rPr>
        <w:t>举办节庆、晚会、论坛、赛事活动。</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auto"/>
          <w:sz w:val="32"/>
          <w:szCs w:val="32"/>
        </w:rPr>
      </w:pPr>
      <w:r>
        <w:rPr>
          <w:rFonts w:hint="eastAsia" w:ascii="仿宋" w:hAnsi="仿宋" w:eastAsia="仿宋" w:cs="仿宋"/>
          <w:b/>
          <w:color w:val="auto"/>
          <w:sz w:val="32"/>
          <w:szCs w:val="32"/>
        </w:rPr>
        <w:t>（四）政府采购情况：</w:t>
      </w:r>
      <w:r>
        <w:rPr>
          <w:rFonts w:hint="eastAsia" w:ascii="仿宋" w:hAnsi="仿宋" w:eastAsia="仿宋" w:cs="仿宋"/>
          <w:bCs/>
          <w:color w:val="auto"/>
          <w:sz w:val="32"/>
          <w:szCs w:val="32"/>
        </w:rPr>
        <w:t>2021</w:t>
      </w:r>
      <w:r>
        <w:rPr>
          <w:rFonts w:hint="eastAsia" w:ascii="仿宋" w:hAnsi="仿宋" w:eastAsia="仿宋" w:cs="仿宋"/>
          <w:color w:val="auto"/>
          <w:sz w:val="32"/>
          <w:szCs w:val="32"/>
        </w:rPr>
        <w:t>年本部门政府采购预算总额0万元，其中，货物类采购预算</w:t>
      </w:r>
      <w:r>
        <w:rPr>
          <w:rFonts w:ascii="仿宋" w:hAnsi="仿宋" w:eastAsia="仿宋" w:cs="仿宋"/>
          <w:color w:val="auto"/>
          <w:sz w:val="32"/>
          <w:szCs w:val="32"/>
        </w:rPr>
        <w:t>0</w:t>
      </w:r>
      <w:r>
        <w:rPr>
          <w:rFonts w:hint="eastAsia" w:ascii="仿宋" w:hAnsi="仿宋" w:eastAsia="仿宋" w:cs="仿宋"/>
          <w:color w:val="auto"/>
          <w:sz w:val="32"/>
          <w:szCs w:val="32"/>
        </w:rPr>
        <w:t>万元；工程类采购预算</w:t>
      </w:r>
      <w:r>
        <w:rPr>
          <w:rFonts w:ascii="仿宋" w:hAnsi="仿宋" w:eastAsia="仿宋" w:cs="仿宋"/>
          <w:color w:val="auto"/>
          <w:sz w:val="32"/>
          <w:szCs w:val="32"/>
        </w:rPr>
        <w:t>0</w:t>
      </w:r>
      <w:r>
        <w:rPr>
          <w:rFonts w:hint="eastAsia" w:ascii="仿宋" w:hAnsi="仿宋" w:eastAsia="仿宋" w:cs="仿宋"/>
          <w:color w:val="auto"/>
          <w:sz w:val="32"/>
          <w:szCs w:val="32"/>
        </w:rPr>
        <w:t>万元；服务类采购预算</w:t>
      </w:r>
      <w:r>
        <w:rPr>
          <w:rFonts w:ascii="仿宋" w:hAnsi="仿宋" w:eastAsia="仿宋" w:cs="仿宋"/>
          <w:color w:val="auto"/>
          <w:sz w:val="32"/>
          <w:szCs w:val="32"/>
        </w:rPr>
        <w:t>0</w:t>
      </w:r>
      <w:r>
        <w:rPr>
          <w:rFonts w:hint="eastAsia" w:ascii="仿宋" w:hAnsi="仿宋" w:eastAsia="仿宋" w:cs="仿宋"/>
          <w:color w:val="auto"/>
          <w:sz w:val="32"/>
          <w:szCs w:val="32"/>
        </w:rPr>
        <w:t>万元。</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textAlignment w:val="auto"/>
        <w:rPr>
          <w:rFonts w:ascii="仿宋" w:hAnsi="仿宋" w:eastAsia="仿宋" w:cs="仿宋"/>
          <w:bCs/>
          <w:color w:val="auto"/>
          <w:kern w:val="0"/>
          <w:sz w:val="32"/>
          <w:szCs w:val="32"/>
        </w:rPr>
      </w:pPr>
      <w:r>
        <w:rPr>
          <w:rFonts w:hint="eastAsia" w:ascii="仿宋" w:hAnsi="仿宋" w:eastAsia="仿宋" w:cs="仿宋"/>
          <w:b/>
          <w:color w:val="auto"/>
          <w:sz w:val="32"/>
          <w:szCs w:val="32"/>
        </w:rPr>
        <w:t>（五）国有资产占用使用及新增资产配置情况：</w:t>
      </w:r>
      <w:r>
        <w:rPr>
          <w:rFonts w:hint="eastAsia" w:ascii="仿宋" w:hAnsi="仿宋" w:eastAsia="仿宋" w:cs="仿宋"/>
          <w:color w:val="auto"/>
          <w:sz w:val="32"/>
          <w:szCs w:val="32"/>
        </w:rPr>
        <w:t>截至2020年12月底，本部门</w:t>
      </w:r>
      <w:r>
        <w:rPr>
          <w:rFonts w:hint="eastAsia" w:ascii="仿宋" w:hAnsi="仿宋" w:eastAsia="仿宋" w:cs="仿宋"/>
          <w:bCs/>
          <w:color w:val="auto"/>
          <w:kern w:val="0"/>
          <w:sz w:val="32"/>
          <w:szCs w:val="32"/>
        </w:rPr>
        <w:t>共有公务用车</w:t>
      </w:r>
      <w:r>
        <w:rPr>
          <w:rFonts w:ascii="仿宋" w:hAnsi="仿宋" w:eastAsia="仿宋" w:cs="仿宋"/>
          <w:bCs/>
          <w:color w:val="auto"/>
          <w:kern w:val="0"/>
          <w:sz w:val="32"/>
          <w:szCs w:val="32"/>
        </w:rPr>
        <w:t>0</w:t>
      </w:r>
      <w:r>
        <w:rPr>
          <w:rFonts w:hint="eastAsia" w:ascii="仿宋" w:hAnsi="仿宋" w:eastAsia="仿宋" w:cs="仿宋"/>
          <w:bCs/>
          <w:color w:val="auto"/>
          <w:kern w:val="0"/>
          <w:sz w:val="32"/>
          <w:szCs w:val="32"/>
        </w:rPr>
        <w:t>辆，其中，机要通信用车</w:t>
      </w:r>
      <w:r>
        <w:rPr>
          <w:rFonts w:ascii="仿宋" w:hAnsi="仿宋" w:eastAsia="仿宋" w:cs="仿宋"/>
          <w:bCs/>
          <w:color w:val="auto"/>
          <w:kern w:val="0"/>
          <w:sz w:val="32"/>
          <w:szCs w:val="32"/>
        </w:rPr>
        <w:t>0</w:t>
      </w:r>
      <w:r>
        <w:rPr>
          <w:rFonts w:hint="eastAsia" w:ascii="仿宋" w:hAnsi="仿宋" w:eastAsia="仿宋" w:cs="仿宋"/>
          <w:bCs/>
          <w:color w:val="auto"/>
          <w:kern w:val="0"/>
          <w:sz w:val="32"/>
          <w:szCs w:val="32"/>
        </w:rPr>
        <w:t>辆，应急保障用车</w:t>
      </w:r>
      <w:r>
        <w:rPr>
          <w:rFonts w:ascii="仿宋" w:hAnsi="仿宋" w:eastAsia="仿宋" w:cs="仿宋"/>
          <w:bCs/>
          <w:color w:val="auto"/>
          <w:kern w:val="0"/>
          <w:sz w:val="32"/>
          <w:szCs w:val="32"/>
        </w:rPr>
        <w:t>0</w:t>
      </w:r>
      <w:r>
        <w:rPr>
          <w:rFonts w:hint="eastAsia" w:ascii="仿宋" w:hAnsi="仿宋" w:eastAsia="仿宋" w:cs="仿宋"/>
          <w:bCs/>
          <w:color w:val="auto"/>
          <w:kern w:val="0"/>
          <w:sz w:val="32"/>
          <w:szCs w:val="32"/>
        </w:rPr>
        <w:t>辆，执法执勤用车</w:t>
      </w:r>
      <w:r>
        <w:rPr>
          <w:rFonts w:ascii="仿宋" w:hAnsi="仿宋" w:eastAsia="仿宋" w:cs="仿宋"/>
          <w:bCs/>
          <w:color w:val="auto"/>
          <w:kern w:val="0"/>
          <w:sz w:val="32"/>
          <w:szCs w:val="32"/>
        </w:rPr>
        <w:t>0</w:t>
      </w:r>
      <w:r>
        <w:rPr>
          <w:rFonts w:hint="eastAsia" w:ascii="仿宋" w:hAnsi="仿宋" w:eastAsia="仿宋" w:cs="仿宋"/>
          <w:bCs/>
          <w:color w:val="auto"/>
          <w:kern w:val="0"/>
          <w:sz w:val="32"/>
          <w:szCs w:val="32"/>
        </w:rPr>
        <w:t>辆，特种专业技术用车</w:t>
      </w:r>
      <w:r>
        <w:rPr>
          <w:rFonts w:ascii="仿宋" w:hAnsi="仿宋" w:eastAsia="仿宋" w:cs="仿宋"/>
          <w:bCs/>
          <w:color w:val="auto"/>
          <w:kern w:val="0"/>
          <w:sz w:val="32"/>
          <w:szCs w:val="32"/>
        </w:rPr>
        <w:t>0</w:t>
      </w:r>
      <w:r>
        <w:rPr>
          <w:rFonts w:hint="eastAsia" w:ascii="仿宋" w:hAnsi="仿宋" w:eastAsia="仿宋" w:cs="仿宋"/>
          <w:bCs/>
          <w:color w:val="auto"/>
          <w:kern w:val="0"/>
          <w:sz w:val="32"/>
          <w:szCs w:val="32"/>
        </w:rPr>
        <w:t>辆，其他按照规定配备的公务用车</w:t>
      </w:r>
      <w:r>
        <w:rPr>
          <w:rFonts w:ascii="仿宋" w:hAnsi="仿宋" w:eastAsia="仿宋" w:cs="仿宋"/>
          <w:bCs/>
          <w:color w:val="auto"/>
          <w:kern w:val="0"/>
          <w:sz w:val="32"/>
          <w:szCs w:val="32"/>
        </w:rPr>
        <w:t>0</w:t>
      </w:r>
      <w:r>
        <w:rPr>
          <w:rFonts w:hint="eastAsia" w:ascii="仿宋" w:hAnsi="仿宋" w:eastAsia="仿宋" w:cs="仿宋"/>
          <w:bCs/>
          <w:color w:val="auto"/>
          <w:kern w:val="0"/>
          <w:sz w:val="32"/>
          <w:szCs w:val="32"/>
        </w:rPr>
        <w:t>辆；单位价值50万元以上通用设备</w:t>
      </w:r>
      <w:r>
        <w:rPr>
          <w:rFonts w:ascii="仿宋" w:hAnsi="仿宋" w:eastAsia="仿宋" w:cs="仿宋"/>
          <w:bCs/>
          <w:color w:val="auto"/>
          <w:kern w:val="0"/>
          <w:sz w:val="32"/>
          <w:szCs w:val="32"/>
        </w:rPr>
        <w:t>0</w:t>
      </w:r>
      <w:r>
        <w:rPr>
          <w:rFonts w:hint="eastAsia" w:ascii="仿宋" w:hAnsi="仿宋" w:eastAsia="仿宋" w:cs="仿宋"/>
          <w:bCs/>
          <w:color w:val="auto"/>
          <w:kern w:val="0"/>
          <w:sz w:val="32"/>
          <w:szCs w:val="32"/>
        </w:rPr>
        <w:t>台，单位价值100万元以上专用设备</w:t>
      </w:r>
      <w:r>
        <w:rPr>
          <w:rFonts w:ascii="仿宋" w:hAnsi="仿宋" w:eastAsia="仿宋" w:cs="仿宋"/>
          <w:bCs/>
          <w:color w:val="auto"/>
          <w:kern w:val="0"/>
          <w:sz w:val="32"/>
          <w:szCs w:val="32"/>
        </w:rPr>
        <w:t>0</w:t>
      </w:r>
      <w:r>
        <w:rPr>
          <w:rFonts w:hint="eastAsia" w:ascii="仿宋" w:hAnsi="仿宋" w:eastAsia="仿宋" w:cs="仿宋"/>
          <w:bCs/>
          <w:color w:val="auto"/>
          <w:kern w:val="0"/>
          <w:sz w:val="32"/>
          <w:szCs w:val="32"/>
        </w:rPr>
        <w:t>台。</w:t>
      </w:r>
      <w:r>
        <w:rPr>
          <w:rFonts w:hint="eastAsia" w:ascii="仿宋" w:hAnsi="仿宋" w:eastAsia="仿宋" w:cs="仿宋"/>
          <w:bCs/>
          <w:color w:val="auto"/>
          <w:sz w:val="32"/>
          <w:szCs w:val="32"/>
          <w:highlight w:val="none"/>
          <w:u w:val="none"/>
        </w:rPr>
        <w:t>2021年拟新增配置公务用车</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辆，其中，机要通信用车</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辆，应急保障用车</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辆，执法执勤用车</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辆，特种专业技术用车</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辆，其他按照规定配备的公务用车</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辆；新增配备单位价值50万元以上通用设备</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台，单位价值100万元以上专用设备</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台。</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textAlignment w:val="auto"/>
        <w:rPr>
          <w:rFonts w:ascii="仿宋" w:hAnsi="仿宋" w:eastAsia="仿宋" w:cs="仿宋"/>
          <w:bCs/>
          <w:color w:val="auto"/>
          <w:sz w:val="32"/>
          <w:szCs w:val="32"/>
        </w:rPr>
      </w:pPr>
      <w:r>
        <w:rPr>
          <w:rFonts w:hint="eastAsia" w:ascii="仿宋" w:hAnsi="仿宋" w:eastAsia="仿宋" w:cs="仿宋"/>
          <w:b/>
          <w:bCs/>
          <w:color w:val="auto"/>
          <w:sz w:val="32"/>
          <w:szCs w:val="32"/>
        </w:rPr>
        <w:t>（六）预算绩效目标说明：</w:t>
      </w:r>
      <w:r>
        <w:rPr>
          <w:rFonts w:hint="eastAsia" w:ascii="仿宋" w:hAnsi="仿宋" w:eastAsia="仿宋" w:cs="仿宋"/>
          <w:bCs/>
          <w:color w:val="auto"/>
          <w:sz w:val="32"/>
          <w:szCs w:val="32"/>
        </w:rPr>
        <w:t>本部门所有支出实行绩效目标管理。纳入2021年部门整体支出绩效目标的金额为</w:t>
      </w:r>
      <w:r>
        <w:rPr>
          <w:rFonts w:ascii="仿宋" w:hAnsi="仿宋" w:eastAsia="仿宋" w:cs="仿宋"/>
          <w:color w:val="auto"/>
          <w:sz w:val="32"/>
          <w:szCs w:val="32"/>
        </w:rPr>
        <w:t>3570</w:t>
      </w:r>
      <w:r>
        <w:rPr>
          <w:rFonts w:hint="eastAsia" w:ascii="仿宋" w:hAnsi="仿宋" w:eastAsia="仿宋" w:cs="仿宋"/>
          <w:bCs/>
          <w:color w:val="auto"/>
          <w:sz w:val="32"/>
          <w:szCs w:val="32"/>
        </w:rPr>
        <w:t>万元，其中，基本支出</w:t>
      </w:r>
      <w:r>
        <w:rPr>
          <w:rFonts w:ascii="仿宋" w:hAnsi="仿宋" w:eastAsia="仿宋" w:cs="仿宋"/>
          <w:color w:val="auto"/>
          <w:sz w:val="32"/>
          <w:szCs w:val="32"/>
        </w:rPr>
        <w:t>434</w:t>
      </w:r>
      <w:r>
        <w:rPr>
          <w:rFonts w:hint="eastAsia" w:ascii="仿宋" w:hAnsi="仿宋" w:eastAsia="仿宋" w:cs="仿宋"/>
          <w:bCs/>
          <w:color w:val="auto"/>
          <w:sz w:val="32"/>
          <w:szCs w:val="32"/>
        </w:rPr>
        <w:t>万元，项目支出</w:t>
      </w:r>
      <w:r>
        <w:rPr>
          <w:rFonts w:ascii="仿宋" w:hAnsi="仿宋" w:eastAsia="仿宋" w:cs="仿宋"/>
          <w:color w:val="auto"/>
          <w:sz w:val="32"/>
          <w:szCs w:val="32"/>
        </w:rPr>
        <w:t>3136</w:t>
      </w:r>
      <w:r>
        <w:rPr>
          <w:rFonts w:hint="eastAsia" w:ascii="仿宋" w:hAnsi="仿宋" w:eastAsia="仿宋" w:cs="仿宋"/>
          <w:bCs/>
          <w:color w:val="auto"/>
          <w:sz w:val="32"/>
          <w:szCs w:val="32"/>
        </w:rPr>
        <w:t>万元，具体绩效目标详见报表。</w:t>
      </w:r>
      <w:r>
        <w:rPr>
          <w:rFonts w:hint="eastAsia" w:ascii="仿宋" w:hAnsi="仿宋" w:eastAsia="仿宋" w:cs="仿宋"/>
          <w:bCs/>
          <w:color w:val="auto"/>
          <w:sz w:val="32"/>
          <w:szCs w:val="32"/>
        </w:rPr>
        <w:t>我单位将严格按照相关规定执行绩效管理，树立财政支出绩效理念，强化自我约束意识和责任意识，提升绩效管理工作的质量和效果。</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eastAsia="黑体"/>
          <w:color w:val="auto"/>
          <w:sz w:val="32"/>
          <w:szCs w:val="32"/>
        </w:rPr>
      </w:pPr>
      <w:r>
        <w:rPr>
          <w:rFonts w:eastAsia="黑体"/>
          <w:color w:val="auto"/>
          <w:sz w:val="32"/>
          <w:szCs w:val="32"/>
        </w:rPr>
        <w:t>七、名词解释</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1、一般公共预算拨款收入：指开福区财政当年拨付的资金。</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2、基本支出：指为保障机构正常运转、完成日常工作任务而发生的人员支出和公用支出。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3、项目支出：指在基本支出之外为完成特定行政任务和事业发展目标所发生的支出。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color w:val="auto"/>
          <w:sz w:val="32"/>
          <w:szCs w:val="32"/>
        </w:rPr>
      </w:pPr>
      <w:r>
        <w:rPr>
          <w:rFonts w:hint="eastAsia" w:ascii="仿宋" w:hAnsi="仿宋" w:eastAsia="仿宋" w:cs="仿宋"/>
          <w:color w:val="auto"/>
          <w:sz w:val="32"/>
          <w:szCs w:val="32"/>
        </w:rPr>
        <w:t>4、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color w:val="auto"/>
          <w:sz w:val="32"/>
          <w:szCs w:val="32"/>
        </w:rPr>
      </w:pPr>
      <w:r>
        <w:rPr>
          <w:rFonts w:hint="eastAsia" w:ascii="仿宋" w:hAnsi="仿宋" w:eastAsia="仿宋" w:cs="仿宋"/>
          <w:color w:val="auto"/>
          <w:sz w:val="32"/>
          <w:szCs w:val="32"/>
        </w:rPr>
        <w:t>5、“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color w:val="auto"/>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color w:val="auto"/>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color w:val="auto"/>
          <w:kern w:val="0"/>
          <w:sz w:val="36"/>
          <w:szCs w:val="36"/>
        </w:rPr>
      </w:pPr>
      <w:r>
        <w:rPr>
          <w:rFonts w:hint="eastAsia" w:ascii="黑体" w:hAnsi="黑体" w:eastAsia="黑体" w:cs="黑体"/>
          <w:b/>
          <w:color w:val="auto"/>
          <w:kern w:val="0"/>
          <w:sz w:val="44"/>
          <w:szCs w:val="44"/>
        </w:rPr>
        <w:t>第二部分 2021年部门预算表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5OWY0ZDQ2ZWVhYjIwOGJmOTQxZGM4N2M5NTY5YTUifQ=="/>
  </w:docVars>
  <w:rsids>
    <w:rsidRoot w:val="0D4140B8"/>
    <w:rsid w:val="00201937"/>
    <w:rsid w:val="00221D5F"/>
    <w:rsid w:val="00247C53"/>
    <w:rsid w:val="007E28BA"/>
    <w:rsid w:val="00832002"/>
    <w:rsid w:val="009533D6"/>
    <w:rsid w:val="00A532BA"/>
    <w:rsid w:val="00BC794F"/>
    <w:rsid w:val="00CE75BD"/>
    <w:rsid w:val="00E85404"/>
    <w:rsid w:val="00E869C8"/>
    <w:rsid w:val="00EA0B70"/>
    <w:rsid w:val="00F36DBA"/>
    <w:rsid w:val="0D4140B8"/>
    <w:rsid w:val="0E4619BD"/>
    <w:rsid w:val="266D0DD6"/>
    <w:rsid w:val="46333D31"/>
    <w:rsid w:val="586D4435"/>
    <w:rsid w:val="75EC7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字符"/>
    <w:basedOn w:val="7"/>
    <w:link w:val="4"/>
    <w:qFormat/>
    <w:uiPriority w:val="0"/>
    <w:rPr>
      <w:rFonts w:asciiTheme="minorHAnsi" w:hAnsiTheme="minorHAnsi" w:eastAsiaTheme="minorEastAsia" w:cstheme="minorBidi"/>
      <w:kern w:val="2"/>
      <w:sz w:val="18"/>
      <w:szCs w:val="18"/>
    </w:rPr>
  </w:style>
  <w:style w:type="character" w:customStyle="1" w:styleId="10">
    <w:name w:val="页脚 字符"/>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3227</Words>
  <Characters>3422</Characters>
  <Lines>24</Lines>
  <Paragraphs>7</Paragraphs>
  <TotalTime>0</TotalTime>
  <ScaleCrop>false</ScaleCrop>
  <LinksUpToDate>false</LinksUpToDate>
  <CharactersWithSpaces>3427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2022-06-28T15:08:00Z</dcterms:created>
  <dc:creator>燕子</dc:creator>
  <cp:lastModifiedBy>维E</cp:lastModifiedBy>
  <dcterms:modified xsi:type="dcterms:W3CDTF">2022-08-18T09:21:09Z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899F88DE99B445109E4688359236E215</vt:lpwstr>
  </property>
</Properties>
</file>