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cs="仿宋"/>
          <w:b/>
          <w:bCs/>
          <w:sz w:val="44"/>
          <w:szCs w:val="44"/>
        </w:rPr>
      </w:pPr>
      <w:bookmarkStart w:id="0" w:name="_GoBack"/>
      <w:bookmarkEnd w:id="0"/>
      <w:r>
        <w:rPr>
          <w:rFonts w:hint="eastAsia" w:ascii="仿宋" w:hAnsi="仿宋" w:eastAsia="仿宋" w:cs="仿宋"/>
          <w:b/>
          <w:bCs/>
          <w:sz w:val="44"/>
          <w:szCs w:val="44"/>
        </w:rPr>
        <w:t>201</w:t>
      </w:r>
      <w:r>
        <w:rPr>
          <w:rFonts w:hint="eastAsia" w:ascii="仿宋" w:hAnsi="仿宋" w:eastAsia="仿宋" w:cs="仿宋"/>
          <w:b/>
          <w:bCs/>
          <w:sz w:val="44"/>
          <w:szCs w:val="44"/>
          <w:lang w:val="en-US" w:eastAsia="zh-CN"/>
        </w:rPr>
        <w:t>9</w:t>
      </w:r>
      <w:r>
        <w:rPr>
          <w:rFonts w:hint="eastAsia" w:ascii="仿宋" w:hAnsi="仿宋" w:eastAsia="仿宋" w:cs="仿宋"/>
          <w:b/>
          <w:bCs/>
          <w:sz w:val="44"/>
          <w:szCs w:val="44"/>
        </w:rPr>
        <w:t>年度</w:t>
      </w:r>
      <w:r>
        <w:rPr>
          <w:rFonts w:hint="eastAsia" w:ascii="仿宋" w:hAnsi="仿宋" w:eastAsia="仿宋" w:cs="仿宋"/>
          <w:b/>
          <w:bCs/>
          <w:sz w:val="44"/>
          <w:szCs w:val="44"/>
          <w:lang w:eastAsia="zh-CN"/>
        </w:rPr>
        <w:t>部门整体支出</w:t>
      </w:r>
      <w:r>
        <w:rPr>
          <w:rFonts w:hint="eastAsia" w:ascii="仿宋" w:hAnsi="仿宋" w:eastAsia="仿宋" w:cs="仿宋"/>
          <w:b/>
          <w:bCs/>
          <w:sz w:val="44"/>
          <w:szCs w:val="44"/>
        </w:rPr>
        <w:t>绩效自评报告</w:t>
      </w:r>
    </w:p>
    <w:p>
      <w:pPr>
        <w:keepNext w:val="0"/>
        <w:keepLines w:val="0"/>
        <w:pageBreakBefore w:val="0"/>
        <w:widowControl w:val="0"/>
        <w:kinsoku/>
        <w:overflowPunct/>
        <w:topLinePunct w:val="0"/>
        <w:autoSpaceDE/>
        <w:autoSpaceDN/>
        <w:bidi w:val="0"/>
        <w:adjustRightInd/>
        <w:snapToGrid/>
        <w:spacing w:line="520" w:lineRule="exact"/>
        <w:ind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eastAsia="zh-CN"/>
        </w:rPr>
      </w:pPr>
      <w:r>
        <w:rPr>
          <w:rFonts w:hint="eastAsia" w:ascii="宋体" w:hAnsi="宋体" w:eastAsia="宋体" w:cs="宋体"/>
          <w:b/>
          <w:bCs/>
          <w:i w:val="0"/>
          <w:iCs w:val="0"/>
          <w:caps w:val="0"/>
          <w:color w:val="666666"/>
          <w:spacing w:val="0"/>
          <w:sz w:val="28"/>
          <w:szCs w:val="28"/>
          <w:lang w:eastAsia="zh-CN"/>
        </w:rPr>
        <w:t>一、部门整体支出概况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eastAsia="zh-CN"/>
        </w:rPr>
      </w:pPr>
      <w:r>
        <w:rPr>
          <w:rFonts w:hint="eastAsia" w:ascii="宋体" w:hAnsi="宋体" w:eastAsia="宋体" w:cs="宋体"/>
          <w:b/>
          <w:bCs/>
          <w:i w:val="0"/>
          <w:iCs w:val="0"/>
          <w:caps w:val="0"/>
          <w:color w:val="666666"/>
          <w:spacing w:val="0"/>
          <w:sz w:val="28"/>
          <w:szCs w:val="28"/>
          <w:lang w:eastAsia="zh-CN"/>
        </w:rPr>
        <w:t>（一）部门职责</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w:t>
      </w:r>
      <w:r>
        <w:rPr>
          <w:rFonts w:hint="eastAsia"/>
          <w:color w:val="666666"/>
          <w:sz w:val="28"/>
          <w:szCs w:val="28"/>
        </w:rPr>
        <w:t>）负责应急管理工作，指导全区各级各部门应对安全生产类、自然灾害类等突发事件和综合防灾减灾救灾工作。负责安全生产综合监督管理和工矿商贸行业安全生产监督管理工作。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2</w:t>
      </w:r>
      <w:r>
        <w:rPr>
          <w:rFonts w:hint="eastAsia"/>
          <w:color w:val="666666"/>
          <w:sz w:val="28"/>
          <w:szCs w:val="28"/>
        </w:rPr>
        <w:t>）贯彻实施相关法律法规、部门规章、规程和标准，组织编制全区应急体系建设、安全生产和综合防灾减灾规划，组织拟订相关政策、规程并监督实施。</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3</w:t>
      </w:r>
      <w:r>
        <w:rPr>
          <w:rFonts w:hint="eastAsia"/>
          <w:color w:val="666666"/>
          <w:sz w:val="28"/>
          <w:szCs w:val="28"/>
        </w:rPr>
        <w:t>）指导应急预案体系建设，建立完善事故灾难和自然灾害分级应对制度，组织编制全区总体应急预案和安全生产类、自然灾害类专项预案，综合协调应急预案衔接工作，组织开展预案演练，推动应急避难设施建设。</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4</w:t>
      </w:r>
      <w:r>
        <w:rPr>
          <w:rFonts w:hint="eastAsia"/>
          <w:color w:val="666666"/>
          <w:sz w:val="28"/>
          <w:szCs w:val="28"/>
        </w:rPr>
        <w:t>）牵头推进全区统一的应急管理信息系统建设，负责信息传输渠道的规划和布局，建立监测预警和灾情报告制度，健全自然灾害信息资源获取和共享机制，依法统一发布灾情。</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5</w:t>
      </w:r>
      <w:r>
        <w:rPr>
          <w:rFonts w:hint="eastAsia"/>
          <w:color w:val="666666"/>
          <w:sz w:val="28"/>
          <w:szCs w:val="28"/>
        </w:rPr>
        <w:t>）组织指导协调安全生产类、自然灾害类等突发事件应急救援，承担区应对较大灾害指挥部工作，综合研判突发事件发展态势并提出应对建议，协助区委、区政府指定的负责同志组织较大及以上灾害应急处置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6</w:t>
      </w:r>
      <w:r>
        <w:rPr>
          <w:rFonts w:hint="eastAsia"/>
          <w:color w:val="666666"/>
          <w:sz w:val="28"/>
          <w:szCs w:val="28"/>
        </w:rPr>
        <w:t>）统一协调指挥各类应急专业队伍，建立应急协调联动机制，推进指挥平台对接，负责做好解放军和武警部队参与应急救援相关衔接工作。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7</w:t>
      </w:r>
      <w:r>
        <w:rPr>
          <w:rFonts w:hint="eastAsia"/>
          <w:color w:val="666666"/>
          <w:sz w:val="28"/>
          <w:szCs w:val="28"/>
        </w:rPr>
        <w:t>）统筹全区应急救援力量建设，负责组织协调消防、森林火灾扑救、抗洪抢险、地震和地质灾害救援、生产安全事故救援等专业应急救援力量建设，指导全区各级及社会应急救援力量建设。</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8</w:t>
      </w:r>
      <w:r>
        <w:rPr>
          <w:rFonts w:hint="eastAsia"/>
          <w:color w:val="666666"/>
          <w:sz w:val="28"/>
          <w:szCs w:val="28"/>
        </w:rPr>
        <w:t>）组织指导协调消防工作，指导全区各级消防监督、火灾预防、火灾扑救等工作。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9</w:t>
      </w:r>
      <w:r>
        <w:rPr>
          <w:rFonts w:hint="eastAsia"/>
          <w:color w:val="666666"/>
          <w:sz w:val="28"/>
          <w:szCs w:val="28"/>
        </w:rPr>
        <w:t>）指导协调全区森林火灾、水旱灾害、地震和地质灾害等防治工作，负责自然灾害综合监测预警工作，指导开展自然灾害综合风险评估工作。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10</w:t>
      </w:r>
      <w:r>
        <w:rPr>
          <w:rFonts w:hint="eastAsia"/>
          <w:color w:val="666666"/>
          <w:sz w:val="28"/>
          <w:szCs w:val="28"/>
        </w:rPr>
        <w:t>）组织协调灾害救助工作，组织指导灾情核查、损失评估、救灾捐赠工作，按权限管理、分配中央、省、市级下达和区级救灾款物并监督使用。</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11</w:t>
      </w:r>
      <w:r>
        <w:rPr>
          <w:rFonts w:hint="eastAsia"/>
          <w:color w:val="666666"/>
          <w:sz w:val="28"/>
          <w:szCs w:val="28"/>
        </w:rPr>
        <w:t>）依法行使安全生产综合监督管理职权，指导协调、监督检查区政府有关部门和各街道办事处安全生产工作，组织开展安全生产巡查、考核工作。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12</w:t>
      </w:r>
      <w:r>
        <w:rPr>
          <w:rFonts w:hint="eastAsia"/>
          <w:color w:val="666666"/>
          <w:sz w:val="28"/>
          <w:szCs w:val="28"/>
        </w:rPr>
        <w:t>）按照分级、属地原则，依法监督检查工矿商贸生产经营单位贯彻执行安全生产法律法规情况及其安全生产条件和有关设备（特种设备除外）、材料、劳动防护用品的安全生产管理工作。负责监督管理工矿商贸行业区属企业安全生产工作。依法组织并指导监督实施安全生产准入制度。负责危险化学品安全监督管理综合工作和烟花爆竹、煤矿、非煤矿山行业安全生产监督管理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13</w:t>
      </w:r>
      <w:r>
        <w:rPr>
          <w:rFonts w:hint="eastAsia"/>
          <w:color w:val="666666"/>
          <w:sz w:val="28"/>
          <w:szCs w:val="28"/>
        </w:rPr>
        <w:t>）依法组织指导生产安全事故调查处理，监督事故查处和责任追究落实情况。组织开展自然灾害类突发事件的调查评估工作。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14</w:t>
      </w:r>
      <w:r>
        <w:rPr>
          <w:rFonts w:hint="eastAsia"/>
          <w:color w:val="666666"/>
          <w:sz w:val="28"/>
          <w:szCs w:val="28"/>
        </w:rPr>
        <w:t>）开展应急管理对外交流与合作，组织参与安全生产类、自然灾害类等突发事件的对外救援工作。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15</w:t>
      </w:r>
      <w:r>
        <w:rPr>
          <w:rFonts w:hint="eastAsia"/>
          <w:color w:val="666666"/>
          <w:sz w:val="28"/>
          <w:szCs w:val="28"/>
        </w:rPr>
        <w:t>）制定全区应急物资储备和应急救援装备规划并组织实施，会同区发改局等部门建立健全应急物资信息平台和调拨制度，在救灾时统一调度。</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16</w:t>
      </w:r>
      <w:r>
        <w:rPr>
          <w:rFonts w:hint="eastAsia"/>
          <w:color w:val="666666"/>
          <w:sz w:val="28"/>
          <w:szCs w:val="28"/>
        </w:rPr>
        <w:t>）负责应急管理、安全生产宣传教育和培训工作，组织指导应急管理、安全生产的科学技术研究、推广应用和信息化建设工作。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17</w:t>
      </w:r>
      <w:r>
        <w:rPr>
          <w:rFonts w:hint="eastAsia"/>
          <w:color w:val="666666"/>
          <w:sz w:val="28"/>
          <w:szCs w:val="28"/>
        </w:rPr>
        <w:t>）组织实施国家战略和应急储备物资收储、轮换和日常管理职责。</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18</w:t>
      </w:r>
      <w:r>
        <w:rPr>
          <w:rFonts w:hint="eastAsia"/>
          <w:color w:val="666666"/>
          <w:sz w:val="28"/>
          <w:szCs w:val="28"/>
        </w:rPr>
        <w:t>）承担区安全生产委员会、区防汛抗旱指挥部、区减灾委员会、区抗震救灾指挥部、区森林防火指挥部的日常工作。</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w:t>
      </w:r>
      <w:r>
        <w:rPr>
          <w:rFonts w:hint="eastAsia"/>
          <w:color w:val="666666"/>
          <w:sz w:val="28"/>
          <w:szCs w:val="28"/>
          <w:lang w:val="en-US" w:eastAsia="zh-CN"/>
        </w:rPr>
        <w:t>19</w:t>
      </w:r>
      <w:r>
        <w:rPr>
          <w:rFonts w:hint="eastAsia"/>
          <w:color w:val="666666"/>
          <w:sz w:val="28"/>
          <w:szCs w:val="28"/>
        </w:rPr>
        <w:t>）完成区委、区政府交办的其他任务。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eastAsia="zh-CN"/>
        </w:rPr>
      </w:pPr>
      <w:r>
        <w:rPr>
          <w:rFonts w:hint="eastAsia" w:ascii="宋体" w:hAnsi="宋体" w:eastAsia="宋体" w:cs="宋体"/>
          <w:b/>
          <w:bCs/>
          <w:i w:val="0"/>
          <w:iCs w:val="0"/>
          <w:caps w:val="0"/>
          <w:color w:val="666666"/>
          <w:spacing w:val="0"/>
          <w:sz w:val="28"/>
          <w:szCs w:val="28"/>
          <w:lang w:eastAsia="zh-CN"/>
        </w:rPr>
        <w:t>（二）机构设置</w:t>
      </w:r>
    </w:p>
    <w:p>
      <w:pPr>
        <w:pStyle w:val="2"/>
        <w:spacing w:before="30" w:beforeAutospacing="0" w:after="30" w:afterAutospacing="0" w:line="420" w:lineRule="atLeast"/>
        <w:ind w:firstLine="420"/>
        <w:jc w:val="both"/>
        <w:rPr>
          <w:rFonts w:hint="eastAsia"/>
          <w:color w:val="666666"/>
          <w:sz w:val="28"/>
          <w:szCs w:val="28"/>
          <w:lang w:eastAsia="zh-CN"/>
        </w:rPr>
      </w:pPr>
      <w:r>
        <w:rPr>
          <w:rFonts w:hint="eastAsia"/>
          <w:color w:val="666666"/>
          <w:sz w:val="28"/>
          <w:szCs w:val="28"/>
        </w:rPr>
        <w:t>开福区应急管理局内设机构包括：办公室（人事和宣传教育科）；安全生产综合协调科；危险化学品和烟花爆竹安全监督管理科（行政审批和政务服务科）；工贸行业安全监督管理科；应急指挥办公室（救援协调和预案管理科）；政策法规和综合减灾救灾科；防汛抗旱科；火灾防治和调查评估统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eastAsia="zh-CN"/>
        </w:rPr>
      </w:pPr>
      <w:r>
        <w:rPr>
          <w:rFonts w:hint="eastAsia" w:ascii="宋体" w:hAnsi="宋体" w:eastAsia="宋体" w:cs="宋体"/>
          <w:b/>
          <w:bCs/>
          <w:i w:val="0"/>
          <w:iCs w:val="0"/>
          <w:caps w:val="0"/>
          <w:color w:val="666666"/>
          <w:spacing w:val="0"/>
          <w:sz w:val="28"/>
          <w:szCs w:val="28"/>
          <w:lang w:eastAsia="zh-CN"/>
        </w:rPr>
        <w:t>（三）人员编制情况</w:t>
      </w:r>
    </w:p>
    <w:p>
      <w:pPr>
        <w:pStyle w:val="2"/>
        <w:spacing w:before="30" w:beforeAutospacing="0" w:after="30" w:afterAutospacing="0" w:line="420" w:lineRule="atLeast"/>
        <w:ind w:firstLine="420"/>
        <w:jc w:val="both"/>
        <w:rPr>
          <w:rFonts w:hint="eastAsia"/>
          <w:color w:val="666666"/>
          <w:sz w:val="28"/>
          <w:szCs w:val="28"/>
        </w:rPr>
      </w:pPr>
      <w:r>
        <w:rPr>
          <w:rFonts w:hint="eastAsia"/>
          <w:color w:val="666666"/>
          <w:sz w:val="28"/>
          <w:szCs w:val="28"/>
        </w:rPr>
        <w:t>本部门编制数28人，在职人数38 </w:t>
      </w:r>
      <w:r>
        <w:rPr>
          <w:rFonts w:hint="eastAsia"/>
          <w:color w:val="666666"/>
          <w:sz w:val="28"/>
          <w:szCs w:val="28"/>
        </w:rPr>
        <w:t>人，其中：在编人数24人；编外长期聘用人员14人；退休人员2人。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eastAsia="zh-CN"/>
        </w:rPr>
      </w:pPr>
      <w:r>
        <w:rPr>
          <w:rFonts w:hint="eastAsia" w:ascii="宋体" w:hAnsi="宋体" w:eastAsia="宋体" w:cs="宋体"/>
          <w:b/>
          <w:bCs/>
          <w:i w:val="0"/>
          <w:iCs w:val="0"/>
          <w:caps w:val="0"/>
          <w:color w:val="666666"/>
          <w:spacing w:val="0"/>
          <w:sz w:val="28"/>
          <w:szCs w:val="28"/>
          <w:lang w:eastAsia="zh-CN"/>
        </w:rPr>
        <w:t>二、部门整体支出使用及管理情况</w:t>
      </w:r>
    </w:p>
    <w:p>
      <w:pPr>
        <w:pStyle w:val="2"/>
        <w:spacing w:before="30" w:beforeAutospacing="0" w:after="30" w:afterAutospacing="0" w:line="420" w:lineRule="atLeast"/>
        <w:ind w:firstLine="420"/>
        <w:jc w:val="both"/>
        <w:rPr>
          <w:rFonts w:hint="eastAsia"/>
          <w:color w:val="666666"/>
          <w:sz w:val="28"/>
          <w:szCs w:val="28"/>
          <w:lang w:val="en-US" w:eastAsia="zh-CN"/>
        </w:rPr>
      </w:pPr>
      <w:r>
        <w:rPr>
          <w:rFonts w:hint="eastAsia"/>
          <w:color w:val="666666"/>
          <w:sz w:val="28"/>
          <w:szCs w:val="28"/>
        </w:rPr>
        <w:t>201</w:t>
      </w:r>
      <w:r>
        <w:rPr>
          <w:rFonts w:hint="eastAsia"/>
          <w:color w:val="666666"/>
          <w:sz w:val="28"/>
          <w:szCs w:val="28"/>
          <w:lang w:val="en-US" w:eastAsia="zh-CN"/>
        </w:rPr>
        <w:t>9</w:t>
      </w:r>
      <w:r>
        <w:rPr>
          <w:rFonts w:hint="eastAsia"/>
          <w:color w:val="666666"/>
          <w:sz w:val="28"/>
          <w:szCs w:val="28"/>
        </w:rPr>
        <w:t>年</w:t>
      </w:r>
      <w:r>
        <w:rPr>
          <w:rFonts w:hint="eastAsia"/>
          <w:color w:val="666666"/>
          <w:sz w:val="28"/>
          <w:szCs w:val="28"/>
          <w:lang w:eastAsia="zh-CN"/>
        </w:rPr>
        <w:t>本单位</w:t>
      </w:r>
      <w:r>
        <w:rPr>
          <w:rFonts w:hint="eastAsia"/>
          <w:color w:val="666666"/>
          <w:sz w:val="28"/>
          <w:szCs w:val="28"/>
        </w:rPr>
        <w:t>整体支出绩效目标1308.3万元，其中：基本支出593.28万元，占</w:t>
      </w:r>
      <w:r>
        <w:rPr>
          <w:rFonts w:hint="eastAsia"/>
          <w:color w:val="666666"/>
          <w:sz w:val="28"/>
          <w:szCs w:val="28"/>
          <w:lang w:val="en-US" w:eastAsia="zh-CN"/>
        </w:rPr>
        <w:t>45.35</w:t>
      </w:r>
      <w:r>
        <w:rPr>
          <w:rFonts w:hint="eastAsia"/>
          <w:color w:val="666666"/>
          <w:sz w:val="28"/>
          <w:szCs w:val="28"/>
        </w:rPr>
        <w:t>%；项目支出715.02万元，占</w:t>
      </w:r>
      <w:r>
        <w:rPr>
          <w:rFonts w:hint="eastAsia"/>
          <w:color w:val="666666"/>
          <w:sz w:val="28"/>
          <w:szCs w:val="28"/>
          <w:lang w:val="en-US" w:eastAsia="zh-CN"/>
        </w:rPr>
        <w:t>54.65</w:t>
      </w:r>
      <w:r>
        <w:rPr>
          <w:rFonts w:hint="eastAsia"/>
          <w:color w:val="666666"/>
          <w:sz w:val="28"/>
          <w:szCs w:val="28"/>
        </w:rPr>
        <w:t>%。全部实行整体支出绩效目标管理，涉及一般公共预算当年</w:t>
      </w:r>
      <w:r>
        <w:rPr>
          <w:rFonts w:hint="eastAsia"/>
          <w:color w:val="666666"/>
          <w:sz w:val="28"/>
          <w:szCs w:val="28"/>
          <w:lang w:eastAsia="zh-CN"/>
        </w:rPr>
        <w:t>财政</w:t>
      </w:r>
      <w:r>
        <w:rPr>
          <w:rFonts w:hint="eastAsia"/>
          <w:color w:val="666666"/>
          <w:sz w:val="28"/>
          <w:szCs w:val="28"/>
        </w:rPr>
        <w:t>拨款1308.3万元。</w:t>
      </w:r>
      <w:r>
        <w:rPr>
          <w:rFonts w:hint="eastAsia"/>
          <w:color w:val="666666"/>
          <w:sz w:val="28"/>
          <w:szCs w:val="28"/>
          <w:lang w:val="en-US" w:eastAsia="zh-CN"/>
        </w:rPr>
        <w:t>2019年实际完成整体支出绩效目标</w:t>
      </w:r>
      <w:r>
        <w:rPr>
          <w:rFonts w:hint="eastAsia"/>
          <w:color w:val="666666"/>
          <w:sz w:val="28"/>
          <w:szCs w:val="28"/>
        </w:rPr>
        <w:t>1319.2</w:t>
      </w:r>
      <w:r>
        <w:rPr>
          <w:rFonts w:hint="eastAsia"/>
          <w:color w:val="666666"/>
          <w:sz w:val="28"/>
          <w:szCs w:val="28"/>
          <w:lang w:val="en-US" w:eastAsia="zh-CN"/>
        </w:rPr>
        <w:t>万元，完成绩效目标的100.83%，</w:t>
      </w:r>
      <w:r>
        <w:rPr>
          <w:rFonts w:hint="eastAsia"/>
          <w:color w:val="666666"/>
          <w:sz w:val="28"/>
          <w:szCs w:val="28"/>
        </w:rPr>
        <w:t>基本支出656.</w:t>
      </w:r>
      <w:r>
        <w:rPr>
          <w:rFonts w:hint="eastAsia"/>
          <w:color w:val="666666"/>
          <w:sz w:val="28"/>
          <w:szCs w:val="28"/>
          <w:lang w:val="en-US" w:eastAsia="zh-CN"/>
        </w:rPr>
        <w:t>2</w:t>
      </w:r>
      <w:r>
        <w:rPr>
          <w:rFonts w:hint="eastAsia"/>
          <w:color w:val="666666"/>
          <w:sz w:val="28"/>
          <w:szCs w:val="28"/>
        </w:rPr>
        <w:t>万元，占49.74%；项目支出663万元，占50.26%</w:t>
      </w:r>
      <w:r>
        <w:rPr>
          <w:rFonts w:hint="eastAsia"/>
          <w:color w:val="666666"/>
          <w:sz w:val="28"/>
          <w:szCs w:val="28"/>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rPr>
      </w:pPr>
      <w:r>
        <w:rPr>
          <w:rFonts w:hint="eastAsia" w:ascii="宋体" w:hAnsi="宋体" w:eastAsia="宋体" w:cs="宋体"/>
          <w:b/>
          <w:bCs/>
          <w:i w:val="0"/>
          <w:iCs w:val="0"/>
          <w:caps w:val="0"/>
          <w:color w:val="666666"/>
          <w:spacing w:val="0"/>
          <w:sz w:val="28"/>
          <w:szCs w:val="28"/>
          <w:lang w:eastAsia="zh-CN"/>
        </w:rPr>
        <w:t>（一）基本支出。</w:t>
      </w:r>
      <w:r>
        <w:rPr>
          <w:rFonts w:hint="eastAsia"/>
          <w:color w:val="666666"/>
          <w:sz w:val="28"/>
          <w:szCs w:val="28"/>
          <w:lang w:val="en-US" w:eastAsia="zh-CN"/>
        </w:rPr>
        <w:t>2019年度财政拨款基本支出</w:t>
      </w:r>
      <w:r>
        <w:rPr>
          <w:rFonts w:hint="eastAsia"/>
          <w:color w:val="666666"/>
          <w:sz w:val="28"/>
          <w:szCs w:val="28"/>
        </w:rPr>
        <w:t>656.</w:t>
      </w:r>
      <w:r>
        <w:rPr>
          <w:rFonts w:hint="eastAsia"/>
          <w:color w:val="666666"/>
          <w:sz w:val="28"/>
          <w:szCs w:val="28"/>
          <w:lang w:val="en-US" w:eastAsia="zh-CN"/>
        </w:rPr>
        <w:t>2</w:t>
      </w:r>
      <w:r>
        <w:rPr>
          <w:rFonts w:hint="eastAsia"/>
          <w:color w:val="666666"/>
          <w:sz w:val="28"/>
          <w:szCs w:val="28"/>
        </w:rPr>
        <w:t>万元，其中：人员经费611.3万元，占基本支出的93.16%，主要包括基本工资、津贴补贴、奖金、机关事业单位基本养老保险缴费、职工基本医疗保险缴费、其他社会保障缴费、住房公积金、其他工资福利支出、退休费、生活补助等；公用经费44.9万元，占基本支出的6.84%，主要包括办公费、邮电费、公务接待费、劳务费、工会经费、其他交通费用、其他商品和服务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r>
        <w:rPr>
          <w:rFonts w:hint="eastAsia" w:ascii="宋体" w:hAnsi="宋体" w:eastAsia="宋体" w:cs="宋体"/>
          <w:b/>
          <w:bCs/>
          <w:i w:val="0"/>
          <w:iCs w:val="0"/>
          <w:caps w:val="0"/>
          <w:color w:val="666666"/>
          <w:spacing w:val="0"/>
          <w:sz w:val="28"/>
          <w:szCs w:val="28"/>
          <w:lang w:eastAsia="zh-CN"/>
        </w:rPr>
        <w:t>（二）项目支出。</w:t>
      </w:r>
      <w:r>
        <w:rPr>
          <w:rFonts w:hint="eastAsia"/>
          <w:color w:val="666666"/>
          <w:sz w:val="28"/>
          <w:szCs w:val="28"/>
          <w:lang w:val="en-US" w:eastAsia="zh-CN"/>
        </w:rPr>
        <w:t>项目支出663万元，占本年支出的50.26，主要包括2019年安全生产公共专项开支。其中城乡社区支出3万元，主要用于2018年度民生实事工作先进集体奖；灾害防治及应急管理支出660万元，分别用于安全生产项目经费627万元和2019年安全生产预防及应急专项资金33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val="en-US" w:eastAsia="zh-CN"/>
        </w:rPr>
      </w:pPr>
      <w:r>
        <w:rPr>
          <w:rFonts w:hint="eastAsia" w:ascii="宋体" w:hAnsi="宋体" w:eastAsia="宋体" w:cs="宋体"/>
          <w:b/>
          <w:bCs/>
          <w:i w:val="0"/>
          <w:iCs w:val="0"/>
          <w:caps w:val="0"/>
          <w:color w:val="666666"/>
          <w:spacing w:val="0"/>
          <w:sz w:val="28"/>
          <w:szCs w:val="28"/>
          <w:lang w:val="en-US" w:eastAsia="zh-CN"/>
        </w:rPr>
        <w:t>三、部门整体支出组织实施情况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r>
        <w:rPr>
          <w:rFonts w:hint="default"/>
          <w:color w:val="666666"/>
          <w:sz w:val="28"/>
          <w:szCs w:val="28"/>
          <w:lang w:val="en-US" w:eastAsia="zh-CN"/>
        </w:rPr>
        <w:t>在区委、区政府的</w:t>
      </w:r>
      <w:r>
        <w:rPr>
          <w:rFonts w:hint="eastAsia"/>
          <w:color w:val="666666"/>
          <w:sz w:val="28"/>
          <w:szCs w:val="28"/>
          <w:lang w:val="en-US" w:eastAsia="zh-CN"/>
        </w:rPr>
        <w:t>坚强</w:t>
      </w:r>
      <w:r>
        <w:rPr>
          <w:rFonts w:hint="default"/>
          <w:color w:val="666666"/>
          <w:sz w:val="28"/>
          <w:szCs w:val="28"/>
          <w:lang w:val="en-US" w:eastAsia="zh-CN"/>
        </w:rPr>
        <w:t>领导下，</w:t>
      </w:r>
      <w:r>
        <w:rPr>
          <w:rFonts w:hint="eastAsia"/>
          <w:color w:val="666666"/>
          <w:sz w:val="28"/>
          <w:szCs w:val="28"/>
          <w:lang w:val="en-US" w:eastAsia="zh-CN"/>
        </w:rPr>
        <w:t>全区严守发展决不能以牺牲生命为代价的红线，按照“源头堵、中间控、落地防”的思路，努力实现改革强安提质，全民治安强基，科技兴安强能的安全治理格局。同时，我单位将绩效评价工作作为一项长期的工作来抓，由分管财务副局长牵头负责，加强财政支出项目绩效自评工作的组织和领导，落实项目自评具体工作人员，确保绩效自评工作顺利进行。通过自查财务凭证、账簿、报表，对照绩效评价工作要求，落实项目实施、运行及资金使用情况，及时报送绩效自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val="en-US" w:eastAsia="zh-CN"/>
        </w:rPr>
      </w:pPr>
      <w:r>
        <w:rPr>
          <w:rFonts w:hint="eastAsia" w:ascii="宋体" w:hAnsi="宋体" w:eastAsia="宋体" w:cs="宋体"/>
          <w:b/>
          <w:bCs/>
          <w:i w:val="0"/>
          <w:iCs w:val="0"/>
          <w:caps w:val="0"/>
          <w:color w:val="666666"/>
          <w:spacing w:val="0"/>
          <w:sz w:val="28"/>
          <w:szCs w:val="28"/>
          <w:lang w:val="en-US" w:eastAsia="zh-CN"/>
        </w:rPr>
        <w:t>四、部门整体支出绩效情况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r>
        <w:rPr>
          <w:rFonts w:hint="eastAsia"/>
          <w:color w:val="666666"/>
          <w:sz w:val="28"/>
          <w:szCs w:val="28"/>
          <w:lang w:val="en-US" w:eastAsia="zh-CN"/>
        </w:rPr>
        <w:t>根据财政预算管理和省级财政资金预算绩效评价工作要求,2019年我单位进一步完善财务管理体制和运行机制、建立科学化、精细化的预算管理机制、提高经费使用效益、强化财务风险管理。提高预算编制的科学性、准确性，按照“量入为出，统筹兼顾、保证重点、收支平衡”的原则，科学合理编制预算，强化预算执行，提高预算执行效率，推进预决算公开。组织相关人员参加决算培训，提高业务素质和技能，积极同财政进行交流学习，较好地完成了本单位财务管理、结算组织、编报、审核及上报工作。2019年我局进行了绩效目标申报，进行了绩效评价自查，绩效评级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ascii="宋体" w:hAnsi="宋体" w:eastAsia="宋体" w:cs="宋体"/>
          <w:b/>
          <w:bCs/>
          <w:i w:val="0"/>
          <w:iCs w:val="0"/>
          <w:caps w:val="0"/>
          <w:color w:val="666666"/>
          <w:spacing w:val="0"/>
          <w:sz w:val="28"/>
          <w:szCs w:val="28"/>
          <w:lang w:val="en-US" w:eastAsia="zh-CN"/>
        </w:rPr>
      </w:pPr>
      <w:r>
        <w:rPr>
          <w:rFonts w:hint="eastAsia" w:ascii="宋体" w:hAnsi="宋体" w:eastAsia="宋体" w:cs="宋体"/>
          <w:b/>
          <w:bCs/>
          <w:i w:val="0"/>
          <w:iCs w:val="0"/>
          <w:caps w:val="0"/>
          <w:color w:val="666666"/>
          <w:spacing w:val="0"/>
          <w:sz w:val="28"/>
          <w:szCs w:val="28"/>
          <w:lang w:val="en-US" w:eastAsia="zh-CN"/>
        </w:rPr>
        <w:t>五、需要说明的问题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r>
        <w:rPr>
          <w:rFonts w:hint="eastAsia"/>
          <w:color w:val="666666"/>
          <w:sz w:val="28"/>
          <w:szCs w:val="28"/>
          <w:lang w:val="en-US" w:eastAsia="zh-CN"/>
        </w:rPr>
        <w:t>总体而言各项工作取得了新的进展和成效，但是同时也存在一些问题和不足。下一步要进一步加强各项经费使用管理，确保资金使用合理，符合预算，办理流程完整、资料齐全。进一步强化财务工作制度建设，形成科学、完善的财务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eastAsia"/>
          <w:color w:val="666666"/>
          <w:sz w:val="28"/>
          <w:szCs w:val="28"/>
          <w:lang w:val="en-US" w:eastAsia="zh-CN"/>
        </w:rPr>
      </w:pPr>
      <w:r>
        <w:rPr>
          <w:rFonts w:hint="eastAsia"/>
          <w:color w:val="666666"/>
          <w:sz w:val="28"/>
          <w:szCs w:val="28"/>
          <w:lang w:val="en-US" w:eastAsia="zh-CN"/>
        </w:rPr>
        <w:t xml:space="preserve">                                开福区应急管理局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both"/>
        <w:rPr>
          <w:rFonts w:hint="default"/>
          <w:color w:val="666666"/>
          <w:sz w:val="28"/>
          <w:szCs w:val="28"/>
          <w:lang w:val="en-US" w:eastAsia="zh-CN"/>
        </w:rPr>
      </w:pPr>
      <w:r>
        <w:rPr>
          <w:rFonts w:hint="eastAsia"/>
          <w:color w:val="666666"/>
          <w:sz w:val="28"/>
          <w:szCs w:val="28"/>
          <w:lang w:val="en-US" w:eastAsia="zh-CN"/>
        </w:rPr>
        <w:t xml:space="preserve">                                 2020年9月25日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62472F"/>
    <w:rsid w:val="00D629F3"/>
    <w:rsid w:val="03C40ABF"/>
    <w:rsid w:val="0A42616A"/>
    <w:rsid w:val="0BC602CD"/>
    <w:rsid w:val="0C5B4D4A"/>
    <w:rsid w:val="13B855A6"/>
    <w:rsid w:val="1D9A6C40"/>
    <w:rsid w:val="1E1A592B"/>
    <w:rsid w:val="1ECD6A5A"/>
    <w:rsid w:val="1F394EDF"/>
    <w:rsid w:val="200E43C5"/>
    <w:rsid w:val="21195FDA"/>
    <w:rsid w:val="22A76ED0"/>
    <w:rsid w:val="22DB409D"/>
    <w:rsid w:val="2465400F"/>
    <w:rsid w:val="27F84239"/>
    <w:rsid w:val="28FC34F6"/>
    <w:rsid w:val="296F5008"/>
    <w:rsid w:val="29C65D9A"/>
    <w:rsid w:val="2D35417A"/>
    <w:rsid w:val="30323C79"/>
    <w:rsid w:val="32F477C1"/>
    <w:rsid w:val="33DB2CC5"/>
    <w:rsid w:val="34FA78AF"/>
    <w:rsid w:val="36C1349A"/>
    <w:rsid w:val="38021CD3"/>
    <w:rsid w:val="3ADD0B77"/>
    <w:rsid w:val="3E496986"/>
    <w:rsid w:val="413F0A00"/>
    <w:rsid w:val="42A35B52"/>
    <w:rsid w:val="454638F4"/>
    <w:rsid w:val="45F06894"/>
    <w:rsid w:val="466E646E"/>
    <w:rsid w:val="467F2861"/>
    <w:rsid w:val="4CEE7D3E"/>
    <w:rsid w:val="500D67CD"/>
    <w:rsid w:val="522004D9"/>
    <w:rsid w:val="56D452E1"/>
    <w:rsid w:val="570C7263"/>
    <w:rsid w:val="588C4C4A"/>
    <w:rsid w:val="593E141C"/>
    <w:rsid w:val="5DBA5F40"/>
    <w:rsid w:val="610B5341"/>
    <w:rsid w:val="620C5248"/>
    <w:rsid w:val="64E1682F"/>
    <w:rsid w:val="660C21FF"/>
    <w:rsid w:val="661576F2"/>
    <w:rsid w:val="67CE1CED"/>
    <w:rsid w:val="69054C3C"/>
    <w:rsid w:val="6B1713EE"/>
    <w:rsid w:val="6B4F66E1"/>
    <w:rsid w:val="6C09265F"/>
    <w:rsid w:val="6D1D19AA"/>
    <w:rsid w:val="6FA7117D"/>
    <w:rsid w:val="712A15BA"/>
    <w:rsid w:val="7715582C"/>
    <w:rsid w:val="78862405"/>
    <w:rsid w:val="7B023098"/>
    <w:rsid w:val="7B9F3146"/>
    <w:rsid w:val="7C5414FE"/>
    <w:rsid w:val="7CA73600"/>
    <w:rsid w:val="7E1174E7"/>
    <w:rsid w:val="7E85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Administrator</cp:lastModifiedBy>
  <dcterms:modified xsi:type="dcterms:W3CDTF">2021-06-04T09:46:42Z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B4F7887AA9044C6CBB9BBD95B64E92C5</vt:lpwstr>
  </property>
</Properties>
</file>