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tblpY="1"/>
        <w:tblOverlap w:val="never"/>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3"/>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0" w:hRule="atLeast"/>
        </w:trPr>
        <w:tc>
          <w:tcPr>
            <w:tcW w:w="8583" w:type="dxa"/>
            <w:tcBorders>
              <w:bottom w:val="single" w:color="auto" w:sz="4" w:space="0"/>
            </w:tcBorders>
            <w:noWrap w:val="0"/>
            <w:vAlign w:val="top"/>
          </w:tcPr>
          <w:p>
            <w:pPr>
              <w:pBdr>
                <w:bottom w:val="single" w:color="auto" w:sz="6" w:space="1"/>
              </w:pBdr>
              <w:rPr>
                <w:rFonts w:ascii="宋体" w:hAnsi="宋体"/>
                <w:sz w:val="32"/>
              </w:rPr>
            </w:pPr>
            <w:r>
              <w:rPr>
                <w:rFonts w:ascii="宋体" w:hAnsi="宋体"/>
                <w:sz w:val="24"/>
              </w:rPr>
              <w:drawing>
                <wp:inline distT="0" distB="0" distL="114300" distR="114300">
                  <wp:extent cx="595630" cy="595630"/>
                  <wp:effectExtent l="0" t="0" r="13970" b="13970"/>
                  <wp:docPr id="1" name="图片 1" descr="w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3"/>
                          <pic:cNvPicPr>
                            <a:picLocks noChangeAspect="1"/>
                          </pic:cNvPicPr>
                        </pic:nvPicPr>
                        <pic:blipFill>
                          <a:blip r:embed="rId4"/>
                          <a:stretch>
                            <a:fillRect/>
                          </a:stretch>
                        </pic:blipFill>
                        <pic:spPr>
                          <a:xfrm>
                            <a:off x="0" y="0"/>
                            <a:ext cx="595630" cy="595630"/>
                          </a:xfrm>
                          <a:prstGeom prst="rect">
                            <a:avLst/>
                          </a:prstGeom>
                          <a:noFill/>
                          <a:ln>
                            <a:noFill/>
                          </a:ln>
                        </pic:spPr>
                      </pic:pic>
                    </a:graphicData>
                  </a:graphic>
                </wp:inline>
              </w:drawing>
            </w:r>
            <w:r>
              <w:rPr>
                <w:rFonts w:ascii="宋体" w:hAnsi="宋体"/>
                <w:sz w:val="24"/>
              </w:rPr>
              <w:t xml:space="preserve">   </w:t>
            </w:r>
            <w:r>
              <w:rPr>
                <w:rFonts w:ascii="宋体" w:hAnsi="宋体"/>
                <w:sz w:val="32"/>
              </w:rPr>
              <w:t xml:space="preserve">  </w:t>
            </w:r>
            <w:r>
              <w:rPr>
                <w:rFonts w:hint="eastAsia" w:ascii="宋体" w:hAnsi="宋体"/>
                <w:sz w:val="32"/>
              </w:rPr>
              <w:t>卫</w:t>
            </w:r>
            <w:r>
              <w:rPr>
                <w:rFonts w:ascii="宋体" w:hAnsi="宋体"/>
                <w:sz w:val="32"/>
              </w:rPr>
              <w:t xml:space="preserve">  </w:t>
            </w:r>
            <w:r>
              <w:rPr>
                <w:rFonts w:hint="eastAsia" w:ascii="宋体" w:hAnsi="宋体"/>
                <w:sz w:val="32"/>
              </w:rPr>
              <w:t>生</w:t>
            </w:r>
            <w:r>
              <w:rPr>
                <w:rFonts w:ascii="宋体" w:hAnsi="宋体"/>
                <w:sz w:val="32"/>
              </w:rPr>
              <w:t xml:space="preserve">  </w:t>
            </w:r>
            <w:r>
              <w:rPr>
                <w:rFonts w:hint="eastAsia" w:ascii="宋体" w:hAnsi="宋体"/>
                <w:sz w:val="32"/>
              </w:rPr>
              <w:t>行</w:t>
            </w:r>
            <w:r>
              <w:rPr>
                <w:rFonts w:ascii="宋体" w:hAnsi="宋体"/>
                <w:sz w:val="32"/>
              </w:rPr>
              <w:t xml:space="preserve">  </w:t>
            </w:r>
            <w:r>
              <w:rPr>
                <w:rFonts w:hint="eastAsia" w:ascii="宋体" w:hAnsi="宋体"/>
                <w:sz w:val="32"/>
              </w:rPr>
              <w:t>政</w:t>
            </w:r>
            <w:r>
              <w:rPr>
                <w:rFonts w:ascii="宋体" w:hAnsi="宋体"/>
                <w:sz w:val="32"/>
              </w:rPr>
              <w:t xml:space="preserve">  </w:t>
            </w:r>
            <w:r>
              <w:rPr>
                <w:rFonts w:hint="eastAsia" w:ascii="宋体" w:hAnsi="宋体"/>
                <w:sz w:val="32"/>
              </w:rPr>
              <w:t>执</w:t>
            </w:r>
            <w:r>
              <w:rPr>
                <w:rFonts w:ascii="宋体" w:hAnsi="宋体"/>
                <w:sz w:val="32"/>
              </w:rPr>
              <w:t xml:space="preserve">  </w:t>
            </w:r>
            <w:r>
              <w:rPr>
                <w:rFonts w:hint="eastAsia" w:ascii="宋体" w:hAnsi="宋体"/>
                <w:sz w:val="32"/>
              </w:rPr>
              <w:t>法</w:t>
            </w:r>
            <w:r>
              <w:rPr>
                <w:rFonts w:ascii="宋体" w:hAnsi="宋体"/>
                <w:sz w:val="32"/>
              </w:rPr>
              <w:t xml:space="preserve">  </w:t>
            </w:r>
            <w:r>
              <w:rPr>
                <w:rFonts w:hint="eastAsia" w:ascii="宋体" w:hAnsi="宋体"/>
                <w:sz w:val="32"/>
              </w:rPr>
              <w:t>文</w:t>
            </w:r>
            <w:r>
              <w:rPr>
                <w:rFonts w:ascii="宋体" w:hAnsi="宋体"/>
                <w:sz w:val="32"/>
              </w:rPr>
              <w:t xml:space="preserve">  </w:t>
            </w:r>
            <w:r>
              <w:rPr>
                <w:rFonts w:hint="eastAsia" w:ascii="宋体" w:hAnsi="宋体"/>
                <w:sz w:val="32"/>
              </w:rPr>
              <w:t>书</w:t>
            </w:r>
          </w:p>
          <w:p>
            <w:pPr>
              <w:pStyle w:val="2"/>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2891" w:firstLineChars="900"/>
              <w:jc w:val="both"/>
              <w:textAlignment w:val="auto"/>
              <w:outlineLvl w:val="9"/>
              <w:rPr>
                <w:rFonts w:hint="eastAsia" w:ascii="黑体" w:eastAsia="黑体"/>
                <w:b/>
                <w:bCs/>
                <w:sz w:val="32"/>
                <w:szCs w:val="32"/>
                <w:lang w:val="en-US" w:eastAsia="zh-CN"/>
              </w:rPr>
            </w:pPr>
            <w:r>
              <w:rPr>
                <w:rFonts w:hint="eastAsia" w:ascii="黑体" w:eastAsia="黑体"/>
                <w:b/>
                <w:bCs/>
                <w:sz w:val="32"/>
                <w:szCs w:val="32"/>
                <w:lang w:val="en-US" w:eastAsia="zh-CN"/>
              </w:rPr>
              <w:t>行政处罚决定书</w:t>
            </w:r>
          </w:p>
          <w:p>
            <w:pPr>
              <w:pStyle w:val="2"/>
              <w:spacing w:before="100" w:line="240" w:lineRule="exact"/>
              <w:jc w:val="right"/>
              <w:rPr>
                <w:rFonts w:hint="eastAsia" w:ascii="仿宋_GB2312" w:eastAsia="仿宋_GB2312"/>
                <w:lang w:val="en-US" w:eastAsia="zh-CN"/>
              </w:rPr>
            </w:pPr>
            <w:r>
              <w:rPr>
                <w:rFonts w:hint="eastAsia" w:ascii="仿宋" w:hAnsi="仿宋" w:eastAsia="仿宋" w:cs="仿宋"/>
                <w:color w:val="000000"/>
                <w:sz w:val="24"/>
                <w:szCs w:val="24"/>
                <w:u w:val="none"/>
                <w:lang w:val="en-US" w:eastAsia="zh-CN"/>
              </w:rPr>
              <w:t>文号：长开卫医罚字</w:t>
            </w:r>
            <w:r>
              <w:rPr>
                <w:rFonts w:hint="eastAsia" w:ascii="仿宋" w:hAnsi="仿宋" w:eastAsia="仿宋" w:cs="仿宋"/>
                <w:color w:val="000000"/>
                <w:kern w:val="2"/>
                <w:sz w:val="24"/>
                <w:szCs w:val="24"/>
                <w:lang w:val="en-US" w:eastAsia="zh-CN"/>
              </w:rPr>
              <w:t>〔2022〕</w:t>
            </w:r>
            <w:r>
              <w:rPr>
                <w:rFonts w:hint="eastAsia" w:ascii="仿宋" w:hAnsi="仿宋" w:eastAsia="仿宋" w:cs="仿宋"/>
                <w:color w:val="000000"/>
                <w:sz w:val="24"/>
                <w:szCs w:val="24"/>
                <w:u w:val="none"/>
                <w:lang w:val="en-US" w:eastAsia="zh-CN"/>
              </w:rPr>
              <w:t xml:space="preserve"> 016号</w:t>
            </w:r>
            <w:r>
              <w:rPr>
                <w:rFonts w:hint="eastAsia" w:hAnsi="宋体" w:eastAsia="宋体" w:cs="宋体"/>
                <w:color w:val="auto"/>
                <w:lang w:val="en-US" w:eastAsia="zh-CN"/>
              </w:rPr>
              <w:t xml:space="preserve">                                                                                                                                                                                                                  </w:t>
            </w:r>
          </w:p>
          <w:p>
            <w:pPr>
              <w:pStyle w:val="2"/>
              <w:keepNext w:val="0"/>
              <w:keepLines w:val="0"/>
              <w:pageBreakBefore w:val="0"/>
              <w:widowControl w:val="0"/>
              <w:kinsoku/>
              <w:wordWrap/>
              <w:overflowPunct/>
              <w:topLinePunct w:val="0"/>
              <w:autoSpaceDE/>
              <w:autoSpaceDN/>
              <w:bidi w:val="0"/>
              <w:spacing w:before="150" w:after="50" w:line="360" w:lineRule="exact"/>
              <w:jc w:val="both"/>
              <w:textAlignment w:val="auto"/>
              <w:rPr>
                <w:rFonts w:hint="default"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被处罚人</w:t>
            </w:r>
            <w:r>
              <w:rPr>
                <w:rFonts w:hint="eastAsia" w:ascii="仿宋_GB2312" w:eastAsia="仿宋_GB2312"/>
                <w:b w:val="0"/>
                <w:bCs w:val="0"/>
                <w:lang w:eastAsia="zh-CN"/>
              </w:rPr>
              <w:t>：</w:t>
            </w:r>
            <w:r>
              <w:rPr>
                <w:rFonts w:hint="eastAsia" w:ascii="仿宋" w:hAnsi="仿宋" w:eastAsia="仿宋" w:cs="仿宋"/>
                <w:sz w:val="24"/>
                <w:szCs w:val="24"/>
                <w:lang w:val="en-US" w:eastAsia="zh-CN"/>
              </w:rPr>
              <w:t>胡解中  性别：男  年龄：44岁 民族：汉族  住址：湖南省******  证件名称：身份证  号码：4*****************    联系电话：1**********</w:t>
            </w:r>
          </w:p>
          <w:p>
            <w:pPr>
              <w:pStyle w:val="2"/>
              <w:keepNext w:val="0"/>
              <w:keepLines w:val="0"/>
              <w:pageBreakBefore w:val="0"/>
              <w:widowControl w:val="0"/>
              <w:kinsoku/>
              <w:wordWrap/>
              <w:overflowPunct/>
              <w:topLinePunct w:val="0"/>
              <w:autoSpaceDE/>
              <w:autoSpaceDN/>
              <w:bidi w:val="0"/>
              <w:spacing w:before="150" w:after="50" w:line="360" w:lineRule="exact"/>
              <w:ind w:firstLine="480" w:firstLineChars="200"/>
              <w:jc w:val="both"/>
              <w:textAlignment w:val="auto"/>
              <w:rPr>
                <w:rFonts w:hint="eastAsia" w:ascii="仿宋" w:hAnsi="仿宋" w:eastAsia="仿宋" w:cs="仿宋"/>
                <w:sz w:val="24"/>
                <w:szCs w:val="24"/>
                <w:u w:val="single"/>
                <w:lang w:val="en-US" w:eastAsia="zh-CN"/>
              </w:rPr>
            </w:pPr>
            <w:r>
              <w:rPr>
                <w:rFonts w:hint="eastAsia" w:ascii="仿宋" w:hAnsi="仿宋" w:eastAsia="仿宋" w:cs="仿宋"/>
                <w:sz w:val="24"/>
                <w:szCs w:val="24"/>
                <w:lang w:val="en-US" w:eastAsia="zh-CN"/>
              </w:rPr>
              <w:t>本机关依法查明</w:t>
            </w:r>
            <w:r>
              <w:rPr>
                <w:rFonts w:hint="eastAsia" w:ascii="仿宋" w:hAnsi="仿宋" w:eastAsia="仿宋" w:cs="仿宋"/>
                <w:sz w:val="24"/>
                <w:szCs w:val="24"/>
                <w:u w:val="single"/>
                <w:lang w:val="en-US" w:eastAsia="zh-CN"/>
              </w:rPr>
              <w:t xml:space="preserve"> 胡解中于2022年7月26日在湖南省长沙市开福区通泰街街道永兴街19号的长沙市开福区言玉梅西医内科诊所开展诊疗活动且为患者开具处方，未按照医师注册或备案的执业地点、执业类别、执业范围，开展执业活动，无违法所得，且无确凿证据证明损害就诊人健康  </w:t>
            </w:r>
            <w:r>
              <w:rPr>
                <w:rFonts w:hint="eastAsia" w:ascii="仿宋" w:hAnsi="仿宋" w:eastAsia="仿宋" w:cs="仿宋"/>
                <w:sz w:val="24"/>
                <w:szCs w:val="24"/>
                <w:u w:val="none"/>
                <w:lang w:val="en-US" w:eastAsia="zh-CN"/>
              </w:rPr>
              <w:t>的行为。</w:t>
            </w:r>
          </w:p>
          <w:p>
            <w:pPr>
              <w:pStyle w:val="2"/>
              <w:keepNext w:val="0"/>
              <w:keepLines w:val="0"/>
              <w:pageBreakBefore w:val="0"/>
              <w:widowControl w:val="0"/>
              <w:kinsoku/>
              <w:wordWrap/>
              <w:overflowPunct/>
              <w:topLinePunct w:val="0"/>
              <w:autoSpaceDE/>
              <w:autoSpaceDN/>
              <w:bidi w:val="0"/>
              <w:adjustRightInd/>
              <w:snapToGrid/>
              <w:spacing w:before="157" w:beforeLines="50" w:line="360" w:lineRule="exact"/>
              <w:ind w:left="0" w:leftChars="0" w:right="0" w:rightChars="0" w:firstLine="42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以上事实有</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auto"/>
                <w:sz w:val="24"/>
                <w:szCs w:val="24"/>
                <w:highlight w:val="none"/>
                <w:u w:val="single"/>
                <w:lang w:val="en-US" w:eastAsia="zh-CN"/>
              </w:rPr>
              <w:t>1、《现场笔录》复印件1份；2、现场照片复印件1份；3、王**处方笺复印件的复印件1份；4、《医疗机构执业许可证》正、副本复印件的复印件各1份；5、《营业执照》复印件的复印件1份；6、胡解中身份证复印件1份；7、胡解中2份《询问笔录》复印件各1份；8、言**、胡解中医师资质证明复印件各1份；9、周*身份证复印件的复印件及《询问笔录》复印件各1份；10、李*护士资质证明复印件1份</w:t>
            </w:r>
            <w:r>
              <w:rPr>
                <w:rFonts w:hint="eastAsia" w:ascii="仿宋" w:hAnsi="仿宋" w:eastAsia="仿宋" w:cs="仿宋"/>
                <w:sz w:val="24"/>
                <w:szCs w:val="24"/>
                <w:lang w:val="en-US" w:eastAsia="zh-CN"/>
              </w:rPr>
              <w:t>为证。</w:t>
            </w:r>
          </w:p>
          <w:p>
            <w:pPr>
              <w:pStyle w:val="2"/>
              <w:keepNext w:val="0"/>
              <w:keepLines w:val="0"/>
              <w:pageBreakBefore w:val="0"/>
              <w:widowControl w:val="0"/>
              <w:kinsoku/>
              <w:wordWrap/>
              <w:overflowPunct/>
              <w:topLinePunct w:val="0"/>
              <w:autoSpaceDE/>
              <w:autoSpaceDN/>
              <w:bidi w:val="0"/>
              <w:adjustRightInd w:val="0"/>
              <w:snapToGrid w:val="0"/>
              <w:spacing w:line="360" w:lineRule="exact"/>
              <w:ind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你违反了</w:t>
            </w:r>
            <w:r>
              <w:rPr>
                <w:rFonts w:hint="eastAsia" w:ascii="仿宋" w:hAnsi="仿宋" w:eastAsia="仿宋" w:cs="仿宋"/>
                <w:sz w:val="24"/>
                <w:szCs w:val="24"/>
                <w:u w:val="single"/>
                <w:lang w:val="en-US" w:eastAsia="zh-CN"/>
              </w:rPr>
              <w:t>《中华人民共和国医师法》第十四条第一款</w:t>
            </w:r>
            <w:r>
              <w:rPr>
                <w:rFonts w:hint="eastAsia" w:ascii="仿宋" w:hAnsi="仿宋" w:eastAsia="仿宋" w:cs="仿宋"/>
                <w:sz w:val="24"/>
                <w:szCs w:val="24"/>
                <w:lang w:val="en-US" w:eastAsia="zh-CN"/>
              </w:rPr>
              <w:t>的</w:t>
            </w:r>
            <w:bookmarkStart w:id="0" w:name="_GoBack"/>
            <w:bookmarkEnd w:id="0"/>
            <w:r>
              <w:rPr>
                <w:rFonts w:hint="eastAsia" w:ascii="仿宋" w:hAnsi="仿宋" w:eastAsia="仿宋" w:cs="仿宋"/>
                <w:sz w:val="24"/>
                <w:szCs w:val="24"/>
                <w:lang w:val="en-US" w:eastAsia="zh-CN"/>
              </w:rPr>
              <w:t>规定，依据</w:t>
            </w:r>
            <w:r>
              <w:rPr>
                <w:rFonts w:hint="eastAsia" w:ascii="仿宋_GB2312" w:hAnsi="仿宋_GB2312" w:eastAsia="仿宋_GB2312" w:cs="仿宋_GB2312"/>
                <w:sz w:val="24"/>
                <w:szCs w:val="24"/>
                <w:u w:val="single"/>
                <w:lang w:val="en-US" w:eastAsia="zh-CN"/>
              </w:rPr>
              <w:t xml:space="preserve">《中华人民共和国医师法》第五十七条 </w:t>
            </w:r>
            <w:r>
              <w:rPr>
                <w:rFonts w:hint="eastAsia" w:ascii="仿宋" w:hAnsi="仿宋" w:eastAsia="仿宋" w:cs="仿宋"/>
                <w:sz w:val="24"/>
                <w:szCs w:val="24"/>
                <w:lang w:val="en-US" w:eastAsia="zh-CN"/>
              </w:rPr>
              <w:t>的规定，</w:t>
            </w:r>
            <w:r>
              <w:rPr>
                <w:rFonts w:hint="eastAsia" w:ascii="仿宋" w:hAnsi="仿宋" w:eastAsia="仿宋" w:cs="仿宋"/>
                <w:sz w:val="24"/>
                <w:szCs w:val="24"/>
                <w:u w:val="none"/>
                <w:lang w:val="en-US" w:eastAsia="zh-CN"/>
              </w:rPr>
              <w:t>责令你停止非法执业活动，</w:t>
            </w:r>
            <w:r>
              <w:rPr>
                <w:rFonts w:hint="eastAsia" w:ascii="仿宋" w:hAnsi="仿宋" w:eastAsia="仿宋" w:cs="仿宋"/>
                <w:sz w:val="24"/>
                <w:szCs w:val="24"/>
                <w:lang w:val="en-US" w:eastAsia="zh-CN"/>
              </w:rPr>
              <w:t>决定予以你</w:t>
            </w:r>
            <w:r>
              <w:rPr>
                <w:rFonts w:hint="eastAsia" w:ascii="仿宋" w:hAnsi="仿宋" w:eastAsia="仿宋" w:cs="仿宋"/>
                <w:sz w:val="24"/>
                <w:szCs w:val="24"/>
                <w:u w:val="single"/>
                <w:lang w:val="en-US" w:eastAsia="zh-CN"/>
              </w:rPr>
              <w:t xml:space="preserve"> 处11500元罚款  </w:t>
            </w:r>
            <w:r>
              <w:rPr>
                <w:rFonts w:hint="eastAsia" w:ascii="仿宋" w:hAnsi="仿宋" w:eastAsia="仿宋" w:cs="仿宋"/>
                <w:sz w:val="24"/>
                <w:szCs w:val="24"/>
                <w:lang w:val="en-US" w:eastAsia="zh-CN"/>
              </w:rPr>
              <w:t>的行政处罚。</w:t>
            </w:r>
          </w:p>
          <w:p>
            <w:pPr>
              <w:pStyle w:val="2"/>
              <w:keepNext w:val="0"/>
              <w:keepLines w:val="0"/>
              <w:pageBreakBefore w:val="0"/>
              <w:widowControl w:val="0"/>
              <w:kinsoku/>
              <w:wordWrap/>
              <w:overflowPunct/>
              <w:topLinePunct w:val="0"/>
              <w:autoSpaceDE/>
              <w:autoSpaceDN/>
              <w:bidi w:val="0"/>
              <w:adjustRightInd w:val="0"/>
              <w:snapToGrid w:val="0"/>
              <w:spacing w:line="360" w:lineRule="exact"/>
              <w:ind w:right="0" w:rightChars="0" w:firstLine="480" w:firstLineChars="20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罚款于收到本决定书之日起15日内缴至</w:t>
            </w:r>
            <w:r>
              <w:rPr>
                <w:rFonts w:hint="eastAsia" w:ascii="仿宋" w:hAnsi="仿宋" w:eastAsia="仿宋" w:cs="仿宋"/>
                <w:sz w:val="24"/>
                <w:szCs w:val="24"/>
                <w:u w:val="single"/>
                <w:lang w:val="en-US" w:eastAsia="zh-CN"/>
              </w:rPr>
              <w:t>长沙农村商业银行股份有限公司凤亭支行　</w:t>
            </w:r>
            <w:r>
              <w:rPr>
                <w:rFonts w:hint="eastAsia" w:ascii="仿宋" w:hAnsi="仿宋" w:eastAsia="仿宋" w:cs="仿宋"/>
                <w:sz w:val="24"/>
                <w:szCs w:val="24"/>
                <w:lang w:val="en-US" w:eastAsia="zh-CN"/>
              </w:rPr>
              <w:t>。</w:t>
            </w:r>
          </w:p>
          <w:p>
            <w:pPr>
              <w:pStyle w:val="2"/>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逾期不缴纳罚款的，依据《中华人民共和国行政处罚法》第七十二条第一款第（一）项规定，每日按罚款数额的3%加处罚款。</w:t>
            </w:r>
          </w:p>
          <w:p>
            <w:pPr>
              <w:pStyle w:val="2"/>
              <w:keepNext w:val="0"/>
              <w:keepLines w:val="0"/>
              <w:pageBreakBefore w:val="0"/>
              <w:widowControl w:val="0"/>
              <w:kinsoku/>
              <w:wordWrap/>
              <w:overflowPunct/>
              <w:topLinePunct w:val="0"/>
              <w:autoSpaceDE/>
              <w:autoSpaceDN/>
              <w:bidi w:val="0"/>
              <w:spacing w:before="100" w:after="156" w:line="3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如不服本处罚决定，可在收到本处罚决定书之日起60日内向</w:t>
            </w:r>
            <w:r>
              <w:rPr>
                <w:rFonts w:hint="eastAsia" w:ascii="仿宋" w:hAnsi="仿宋" w:eastAsia="仿宋" w:cs="仿宋"/>
                <w:sz w:val="24"/>
                <w:szCs w:val="24"/>
                <w:u w:val="single"/>
                <w:lang w:val="en-US" w:eastAsia="zh-CN"/>
              </w:rPr>
              <w:t xml:space="preserve">　 长沙市开福区 </w:t>
            </w:r>
            <w:r>
              <w:rPr>
                <w:rFonts w:hint="eastAsia" w:ascii="仿宋" w:hAnsi="仿宋" w:eastAsia="仿宋" w:cs="仿宋"/>
                <w:sz w:val="24"/>
                <w:szCs w:val="24"/>
                <w:lang w:val="en-US" w:eastAsia="zh-CN"/>
              </w:rPr>
              <w:t>人民政府申请行政复议，或者6个月内向</w:t>
            </w:r>
            <w:r>
              <w:rPr>
                <w:rFonts w:hint="eastAsia" w:ascii="仿宋" w:hAnsi="仿宋" w:eastAsia="仿宋" w:cs="仿宋"/>
                <w:sz w:val="24"/>
                <w:szCs w:val="24"/>
                <w:u w:val="single"/>
                <w:lang w:val="en-US" w:eastAsia="zh-CN"/>
              </w:rPr>
              <w:t xml:space="preserve"> 长沙铁路运输法院 </w:t>
            </w:r>
            <w:r>
              <w:rPr>
                <w:rFonts w:hint="eastAsia" w:ascii="仿宋" w:hAnsi="仿宋" w:eastAsia="仿宋" w:cs="仿宋"/>
                <w:sz w:val="24"/>
                <w:szCs w:val="24"/>
                <w:lang w:val="en-US" w:eastAsia="zh-CN"/>
              </w:rPr>
              <w:t>起诉，但不得停止执行本处罚决定。逾期不申请行政复议也不向人民法院起诉，又不履行处罚决定的，本机关将依法申请人民法院强制执行。</w:t>
            </w:r>
          </w:p>
          <w:p>
            <w:pPr>
              <w:pStyle w:val="2"/>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5280" w:firstLineChars="2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长沙市开福区卫生健康局</w:t>
            </w:r>
          </w:p>
          <w:p>
            <w:pPr>
              <w:pStyle w:val="2"/>
              <w:keepNext w:val="0"/>
              <w:keepLines w:val="0"/>
              <w:pageBreakBefore w:val="0"/>
              <w:widowControl w:val="0"/>
              <w:kinsoku/>
              <w:wordWrap/>
              <w:overflowPunct/>
              <w:topLinePunct w:val="0"/>
              <w:autoSpaceDE/>
              <w:autoSpaceDN/>
              <w:bidi w:val="0"/>
              <w:adjustRightInd w:val="0"/>
              <w:snapToGrid w:val="0"/>
              <w:spacing w:before="157" w:beforeLines="50" w:line="260" w:lineRule="exact"/>
              <w:ind w:left="0" w:leftChars="0" w:right="0" w:rightChars="0" w:firstLine="2730" w:firstLineChars="0"/>
              <w:jc w:val="both"/>
              <w:textAlignment w:val="auto"/>
              <w:outlineLvl w:val="9"/>
              <w:rPr>
                <w:rFonts w:hint="eastAsia" w:ascii="仿宋_GB2312" w:eastAsia="仿宋_GB2312"/>
                <w:lang w:val="en-US" w:eastAsia="zh-CN"/>
              </w:rPr>
            </w:pPr>
            <w:r>
              <w:rPr>
                <w:rFonts w:hint="eastAsia" w:ascii="仿宋" w:hAnsi="仿宋" w:eastAsia="仿宋" w:cs="仿宋"/>
                <w:sz w:val="24"/>
                <w:szCs w:val="24"/>
                <w:lang w:val="en-US" w:eastAsia="zh-CN"/>
              </w:rPr>
              <w:t xml:space="preserve">                         2022 年 10月25日</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8583" w:type="dxa"/>
            <w:tcBorders>
              <w:top w:val="single" w:color="auto" w:sz="4" w:space="0"/>
              <w:bottom w:val="single" w:color="auto" w:sz="4" w:space="0"/>
            </w:tcBorders>
            <w:noWrap w:val="0"/>
            <w:vAlign w:val="center"/>
          </w:tcPr>
          <w:p>
            <w:pPr>
              <w:pStyle w:val="2"/>
              <w:rPr>
                <w:rFonts w:hint="eastAsia"/>
                <w:lang w:val="en-US" w:eastAsia="zh-CN"/>
              </w:rPr>
            </w:pPr>
            <w:r>
              <w:rPr>
                <w:rFonts w:hint="eastAsia"/>
                <w:lang w:val="en-US" w:eastAsia="zh-CN"/>
              </w:rPr>
              <w:t>备注：本决定书一式二联，第一联留存执法案卷，第二联交当事人。</w:t>
            </w:r>
          </w:p>
        </w:tc>
      </w:tr>
    </w:tbl>
    <w:p>
      <w:r>
        <w:rPr>
          <w:rFonts w:hint="eastAsia" w:ascii="黑体" w:eastAsia="黑体"/>
          <w:lang w:val="en-US" w:eastAsia="zh-CN"/>
        </w:rPr>
        <w:t xml:space="preserve">                                        </w:t>
      </w:r>
      <w:r>
        <w:rPr>
          <w:rFonts w:hint="eastAsia" w:ascii="黑体" w:eastAsia="黑体"/>
          <w:lang w:eastAsia="zh-CN"/>
        </w:rPr>
        <w:t>中华人民共和国国家卫生健康委员会制定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0ZjZlMGZlM2Y5MDJiZGUwMzI2ZjlmNjFjOTZjNjAifQ=="/>
  </w:docVars>
  <w:rsids>
    <w:rsidRoot w:val="00000000"/>
    <w:rsid w:val="58260F11"/>
    <w:rsid w:val="7661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764</Words>
  <Characters>816</Characters>
  <Lines>0</Lines>
  <Paragraphs>0</Paragraphs>
  <TotalTime>1</TotalTime>
  <ScaleCrop>false</ScaleCrop>
  <LinksUpToDate>false</LinksUpToDate>
  <CharactersWithSpaces>1188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2022-11-11T02:12:00Z</dcterms:created>
  <dc:creator>Administrator</dc:creator>
  <cp:lastModifiedBy>张天亮</cp:lastModifiedBy>
  <dcterms:modified xsi:type="dcterms:W3CDTF">2022-11-18T06:33:13Z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794875B4FB354CA298FDC37B7493A505</vt:lpwstr>
  </property>
</Properties>
</file>