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重点项目绩效自评报告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仿宋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2021年我单位（局、部、中心）项目支出预算共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153.75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万元，包含项目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153.75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业务工作经费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133.95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万元、专项经费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19.8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万元、政府专项经费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万元），涵盖项目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金额单位：万元</w:t>
      </w:r>
    </w:p>
    <w:tbl>
      <w:tblPr>
        <w:tblStyle w:val="5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63"/>
        <w:gridCol w:w="11"/>
        <w:gridCol w:w="3608"/>
        <w:gridCol w:w="945"/>
        <w:gridCol w:w="1005"/>
        <w:gridCol w:w="84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619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项目1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卫生监督执法专项经费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办公费520元，印刷费13610元，维修费8400元，会议费600元，培训费66424.00元，律师费8000元，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街道执法记录议54139.2元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15.20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15.20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15.20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项目2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 xml:space="preserve">伙食补助 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在职工作人员伙食补助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10.26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10.26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10.26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项目3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设备购置支出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购置智慧卫监平台专用设备，公卫大楼卫监办公室购置办公设备，宣传栏公告栏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57.10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57.10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57.10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项目4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信息建设服务费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智慧卫监综合管理平台信息服务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50.52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50.52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50.52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43" w:type="dxa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项目5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会议费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2021年二次供水管理单位卫生管理及游泳场所管理培训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0.87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0.87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0.87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25" w:type="dxa"/>
            <w:gridSpan w:val="4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业务工作经费小计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133.95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133.95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133.95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133.95</w:t>
            </w:r>
          </w:p>
        </w:tc>
      </w:tr>
    </w:tbl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金额单位：万元</w:t>
      </w:r>
    </w:p>
    <w:tbl>
      <w:tblPr>
        <w:tblStyle w:val="5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64"/>
        <w:gridCol w:w="3623"/>
        <w:gridCol w:w="945"/>
        <w:gridCol w:w="1005"/>
        <w:gridCol w:w="84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6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委托业务费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中小学及高校19个，游泳场所37个，住宿场所21个，沐浴场所6个，美容美发场所9个，其他公共场所16个公共卫生、集中空调3个，10个生活饮用水二次供水随机监督抽查工作。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9.8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9.8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9.8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项目2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委托业务费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21个学校水质检测、8个托幼机构、6个校外培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训机构的教室采光和照明检测工作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10.00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10.00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31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专项经费合计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19.80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19.80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19.80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19.80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（二）项目绩效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目标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情况</w:t>
      </w:r>
    </w:p>
    <w:tbl>
      <w:tblPr>
        <w:tblStyle w:val="5"/>
        <w:tblW w:w="52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10"/>
        <w:gridCol w:w="1848"/>
        <w:gridCol w:w="1173"/>
        <w:gridCol w:w="151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资金安排（万元）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产出成果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时效目标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质量目标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社会效益及满意度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0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卫生监督执法专项经费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15.20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维修执法电脑，召开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新冠防控暨智慧卫监平台会议并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组织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培训，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配备街道执法人员记录议等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为进一步推进全区卫生健康监督执法工作智能化、规范化，强化医疗卫生行业多元化监管，推动执法重心不断下沉。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维持工作正常运转，提升卫生监督公众形象，全面提升卫生监管效能，有效支持政府建设。扩大法制宣传教育的覆盖面和渗透力，有效良好的社会秩序。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伙食补助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10.26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在职工作人员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做好职工后勤保障，维持工作正常运转。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满意度90%。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设备购置支出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57.10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全局执法工作人员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outlineLvl w:val="0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明确强化工作保障，着力改善执法条件，合理安排执法装备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有效推动了执法规范化、标准化和制度化。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信息建设服务费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50.52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全局执法工作人员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全年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确保长沙智慧卫监综合管理平台如期投入使用，切实实现卫监监管的信息化。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充分加强了机构自治、社会监督和政府监管的结合力度，实现了卫生监督检查的“互联网+监管”。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会议费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0.87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2021年二次供水管理单位卫生管理及游泳场所管理培训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单次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default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次供水管理单位卫生管理工作落实到位，落实各二次供水机构主体责任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；面提升我区游泳场所卫生安全管理水平，有效预防游泳池水不达标导致的传染病传播，全力保障广大游泳者身体健康，保证政府的惠民政策能落到实处。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提升二次供水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、游泳场所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管理单位卫生管理水平，防止传染病爆发流行及饮用水污染事件等突发公共卫生事件的发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W w:w="52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64"/>
        <w:gridCol w:w="1706"/>
        <w:gridCol w:w="1161"/>
        <w:gridCol w:w="151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87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资金安排（万元）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产出成果</w:t>
            </w:r>
          </w:p>
        </w:tc>
        <w:tc>
          <w:tcPr>
            <w:tcW w:w="6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时效目标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质量目标</w:t>
            </w: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社会效益及满意度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793" w:type="pc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委托业务费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9.8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中小学及高校19个，游泳场所37个，住宿场所21个，沐浴场所6个，美容美发场所9个，其他公共场所16个公共卫生、集中空调3个，10个生活饮用水二次供水随机监督抽查工作。</w:t>
            </w:r>
          </w:p>
        </w:tc>
        <w:tc>
          <w:tcPr>
            <w:tcW w:w="6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全年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防止传染病爆发流行突发公共卫生事件发生</w:t>
            </w: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公共卫生满意度持续提高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pc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委托业务费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21个学校水质检测、8个托幼机构、6个校外培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训机构的教室采光和照明检测工作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6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全年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防止饮用水污染事件等突发公共卫生事件发生；保证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托幼机构、校外培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训机构的教室采光和照明</w:t>
            </w:r>
          </w:p>
        </w:tc>
        <w:tc>
          <w:tcPr>
            <w:tcW w:w="10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提高了生活饮用水卫生管理水平，学校、托幼、培训机构公共卫生管理水平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二、专项资金实际支出使用情况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2021年专项资金年初预算32.11万元，财政拨款32.11万元，上年结余14.83万元，追加预算106.81万元，全部用于各专项工作的开支，单位一把手严格把关，按渠道及相关制度开支。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三、专项资金管理情况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left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制订了资金安全使用的管理制度，严格审批程序，确保各专项资金按渠道、用途安全使用。财务室负责审核，并确保各专项开支的原始凭证及辅助资料完整。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为保证绩效评价工作顺利开展，成立了专门绩效评价小组，由财务室牵头，负责绩效评价的组织管理和实施工作。预算按照要求整理相关数据和资料，对部门综合绩效情况进行自我评价，同时对项目资金执行封闭管理，专账核算。具体支出由业务科室进行把关，科室负责人、主管领导、财务负责人进行集体会签，并由区卫健局相关领导审核把关，走签呈报请区领导审批。确保资金专款专用，及时高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仿宋"/>
          <w:sz w:val="32"/>
          <w:szCs w:val="32"/>
        </w:rPr>
        <w:t>主要绩效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left="24" w:leftChars="0" w:firstLine="729" w:firstLineChars="0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维持工作正常运转，提升卫生监督公众形象，全面提升卫生监管效能，有效支持政府建设。扩大法制宣传教育的覆盖面和渗透力，有效良好的社会秩序。</w:t>
      </w:r>
    </w:p>
    <w:p>
      <w:pPr>
        <w:numPr>
          <w:ilvl w:val="0"/>
          <w:numId w:val="1"/>
        </w:numPr>
        <w:spacing w:line="560" w:lineRule="exact"/>
        <w:ind w:left="24" w:leftChars="0" w:firstLine="729" w:firstLineChars="0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明确强化工作保障，着力改善执法条件，合理安排执法装备，保证执法信息传输通畅，实现信息共享，节省时间和投入经费；</w:t>
      </w:r>
    </w:p>
    <w:p>
      <w:pPr>
        <w:numPr>
          <w:ilvl w:val="0"/>
          <w:numId w:val="1"/>
        </w:numPr>
        <w:spacing w:line="560" w:lineRule="exact"/>
        <w:ind w:left="24" w:leftChars="0" w:firstLine="729" w:firstLineChars="0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加大公共场所、饮用水、学校、医疗等管理单位的卫生及法律法规培训，防止传染病爆发流行、饮用水污染事件等突发公共卫生事件发生。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、存在的问题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对民众普法知识宣传力度不足，管理相对人自检自查能力有待提高。</w:t>
      </w:r>
    </w:p>
    <w:p>
      <w:pPr>
        <w:numPr>
          <w:ilvl w:val="0"/>
          <w:numId w:val="0"/>
        </w:numPr>
        <w:spacing w:line="560" w:lineRule="exact"/>
        <w:ind w:left="0" w:leftChars="0" w:firstLine="729" w:firstLineChars="228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2、基层执法设备培训力度不足，同时设备陈旧，存在迟报、漏报情况；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3、目前仅针对持证生活饮用水管理单位进行法律培训，对民众法律法规宣传力度有限。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有关建议</w:t>
      </w:r>
    </w:p>
    <w:p>
      <w:pPr>
        <w:numPr>
          <w:ilvl w:val="0"/>
          <w:numId w:val="2"/>
        </w:numPr>
        <w:spacing w:line="560" w:lineRule="exact"/>
        <w:ind w:left="24" w:leftChars="0" w:firstLine="729" w:firstLineChars="0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进一步加强对管理相对人的法律培训宣传，提高频次及覆盖面，同时开展基层民众普法宣传；</w:t>
      </w:r>
    </w:p>
    <w:p>
      <w:pPr>
        <w:numPr>
          <w:ilvl w:val="0"/>
          <w:numId w:val="2"/>
        </w:numPr>
        <w:spacing w:line="560" w:lineRule="exact"/>
        <w:ind w:left="24" w:leftChars="0" w:firstLine="729" w:firstLineChars="0"/>
        <w:outlineLvl w:val="0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加强对基层执法人员执法终端的使用培训，加强卫生计生信息化建设，提高信息及时报送率及准确率；</w:t>
      </w:r>
    </w:p>
    <w:p>
      <w:pPr>
        <w:numPr>
          <w:ilvl w:val="0"/>
          <w:numId w:val="2"/>
        </w:numPr>
        <w:spacing w:line="560" w:lineRule="exact"/>
        <w:ind w:left="24" w:leftChars="0" w:firstLine="729" w:firstLineChars="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加大生活饮用水卫生法律培训覆盖范围，加强对民众生活饮用水法律法规宣传，提高对饮用水安全的防控意识。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Cs w:val="28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9DD59"/>
    <w:multiLevelType w:val="singleLevel"/>
    <w:tmpl w:val="1AD9DD59"/>
    <w:lvl w:ilvl="0" w:tentative="0">
      <w:start w:val="1"/>
      <w:numFmt w:val="decimal"/>
      <w:suff w:val="nothing"/>
      <w:lvlText w:val="%1、"/>
      <w:lvlJc w:val="left"/>
      <w:pPr>
        <w:ind w:left="24"/>
      </w:pPr>
    </w:lvl>
  </w:abstractNum>
  <w:abstractNum w:abstractNumId="1">
    <w:nsid w:val="2E6FF976"/>
    <w:multiLevelType w:val="singleLevel"/>
    <w:tmpl w:val="2E6FF976"/>
    <w:lvl w:ilvl="0" w:tentative="0">
      <w:start w:val="1"/>
      <w:numFmt w:val="decimal"/>
      <w:suff w:val="nothing"/>
      <w:lvlText w:val="%1、"/>
      <w:lvlJc w:val="left"/>
      <w:pPr>
        <w:ind w:left="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jkwM2MyYmEwMTA1ZjhhYmY0MGRlZjYzZWQxMGYifQ=="/>
  </w:docVars>
  <w:rsids>
    <w:rsidRoot w:val="00000000"/>
    <w:rsid w:val="3A143371"/>
    <w:rsid w:val="7B0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2227</Words>
  <Characters>2473</Characters>
  <Lines>0</Lines>
  <Paragraphs>0</Paragraphs>
  <TotalTime>0</TotalTime>
  <ScaleCrop>false</ScaleCrop>
  <LinksUpToDate>false</LinksUpToDate>
  <CharactersWithSpaces>2489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2022-09-19T01:13:00Z</dcterms:created>
  <dc:creator>admin</dc:creator>
  <cp:lastModifiedBy>admin</cp:lastModifiedBy>
  <dcterms:modified xsi:type="dcterms:W3CDTF">2022-10-14T06:29:34Z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B89C1113364243A1A58C1ABA37038218</vt:lpwstr>
  </property>
</Properties>
</file>