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bCs/>
          <w:kern w:val="0"/>
          <w:sz w:val="48"/>
          <w:szCs w:val="48"/>
          <w:lang w:val="en-US" w:eastAsia="zh-CN" w:bidi="ar-SA"/>
        </w:rPr>
      </w:pPr>
      <w:r>
        <w:rPr>
          <w:rFonts w:hint="eastAsia" w:ascii="黑体" w:hAnsi="黑体" w:eastAsia="黑体" w:cs="黑体"/>
          <w:bCs/>
          <w:kern w:val="0"/>
          <w:sz w:val="48"/>
          <w:szCs w:val="48"/>
          <w:lang w:val="en-US" w:eastAsia="zh-CN" w:bidi="ar-SA"/>
        </w:rPr>
        <w:t>2020年开福区卫生计生综合监督执法局部门决算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黑体" w:cs="Times New Roman"/>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第一部分  开福区卫生计生综合监督执法局部门概况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kern w:val="0"/>
          <w:sz w:val="44"/>
          <w:szCs w:val="44"/>
          <w:lang w:val="en-US" w:eastAsia="zh-CN"/>
        </w:rPr>
      </w:pPr>
      <w:r>
        <w:rPr>
          <w:rFonts w:hint="eastAsia" w:ascii="黑体" w:hAnsi="黑体" w:eastAsia="黑体" w:cs="黑体"/>
          <w:b/>
          <w:bCs w:val="0"/>
          <w:kern w:val="0"/>
          <w:sz w:val="44"/>
          <w:szCs w:val="44"/>
          <w:lang w:val="en-US" w:eastAsia="zh-CN"/>
        </w:rPr>
        <w:t>第一部分 开福区卫生计生综合监督执法局部门概况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（一）医疗机构卫生监督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1、对医疗机构、采供血机构、疾病预防控制机构的传染病疫情报告、疫情控制措施、消毒隔离制度执行情况和医疗废物处置情况和菌（毒）种情况进行监督检查，查处违法行为。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2、对母婴保健技术服务机构计划生育服务机构服务内容和从业人员的行为规范进行监督，依法打击“两非”行为，做好计划生育违法违纪案件的督察督办。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3、对医疗机构、采供血机构及其从业人员的执业活动进行监督检查，查处违法行为；打击非法行医和非法采供血；整顿和规范医疗服务秩序。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（二）计划生育监督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1、实施计生专项整治和日常监督检查；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2、开展计生法律法规宣传教育和执法检查；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3、开展违反计生法律法规的稽查和行政处罚。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（三）职业卫生监督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对医疗卫生机构的放射诊疗、职业健康检查和职业病诊断工作进行监督检查，查处违法行为。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（四）公共场所卫生监督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1、对公共场所的卫生条件及其从业人员的健康管理进行卫生监督检查，查处违法行为；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2、查处公共场所卫生的其他违法行为。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（五）饮用水卫生监督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1、生活饮用水、涉及饮用水卫生安全产品及其生产经营活动进行卫生监督；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2、查处饮用水及涉水产品卫生的其他违法行为；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（六）学校卫生监督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1、对学校卫生、学生健康管理、学生常见病防治进行卫生监督检查；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2、查处学校卫生其他违法行为；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（七）消毒产品卫生监督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1、对消毒及健康相关产品进行卫生监督；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2、查处其他违法行为；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（八）公共环境卫生监督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1、对公共环境、使用空调的场所、集中式中央空调卫生情况进行监督；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2、查处其他公共环境卫生违法行为；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（九）其他职能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1、负责派出机构的管理，对监督协管员进行培训、业务指导；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2、负责辖区内卫生计生监督信息的收集、核实和上报；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3、负责受理对卫生违法行为的投诉、举报；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4、开展卫生计生法律法规宣传教育和执法检查；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5、完成卫生计生行政部门、中医药管理部门交办的食品安全、中医药监督等相关工作及职责范围内的工作；</w:t>
      </w:r>
    </w:p>
    <w:p>
      <w:pPr>
        <w:keepNext w:val="0"/>
        <w:keepLines w:val="0"/>
        <w:pageBreakBefore w:val="0"/>
        <w:widowControl/>
        <w:kinsoku/>
        <w:wordWrap/>
        <w:overflowPunct/>
        <w:topLinePunct w:val="0"/>
        <w:bidi w:val="0"/>
        <w:snapToGrid/>
        <w:spacing w:line="600" w:lineRule="exact"/>
        <w:ind w:left="638" w:leftChars="304" w:firstLine="0" w:firstLineChars="0"/>
        <w:textAlignment w:val="auto"/>
        <w:rPr>
          <w:rFonts w:hint="eastAsia" w:ascii="黑体" w:hAnsi="黑体" w:eastAsia="黑体" w:cs="黑体"/>
          <w:b w:val="0"/>
          <w:bCs/>
          <w:kern w:val="0"/>
          <w:sz w:val="32"/>
          <w:szCs w:val="32"/>
        </w:rPr>
      </w:pPr>
      <w:r>
        <w:rPr>
          <w:rFonts w:hint="eastAsia" w:ascii="仿宋" w:hAnsi="仿宋" w:eastAsia="仿宋" w:cs="仿宋"/>
          <w:b w:val="0"/>
          <w:bCs w:val="0"/>
          <w:color w:val="auto"/>
          <w:kern w:val="0"/>
          <w:sz w:val="32"/>
          <w:szCs w:val="32"/>
          <w:highlight w:val="none"/>
          <w:lang w:val="en-US" w:eastAsia="zh-CN" w:bidi="ar-SA"/>
        </w:rPr>
        <w:t>6、完成上级和本级卫生监督及相关健康产品抽检任务。</w:t>
      </w:r>
      <w:r>
        <w:rPr>
          <w:rFonts w:hint="eastAsia" w:ascii="黑体" w:hAnsi="黑体" w:eastAsia="黑体" w:cs="黑体"/>
          <w:b w:val="0"/>
          <w:bCs/>
          <w:kern w:val="0"/>
          <w:sz w:val="32"/>
          <w:szCs w:val="32"/>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(一）内设机构设置。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开福区卫生计生综合监督执法局内设机构包括：由1个事业单位组成，内设办公室和3个综合执法科室。每个科室牵头2—3条线上工作。实行条块结合，按地域划分综合监督执法。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单位编制数14人,在编人数14人，年初在职人数17人，年末在职人数19人（1月份调入一名干部、10月份调入一名军属），年薪专业技术人员3人，临聘人员2人，退休人员5人。高级职称2人，中级职称5人.初级职称3人。研究生学历4人，本科学历10人，中专及专科5人。党员10人（其中退休党员2人），班子成员暂时只有3名,书记局长1人，副局长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开福区卫生计生综合监督执法局2020年部门决算汇总公开单位构成包括：开福区卫生计生综合监督执法局本级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pStyle w:val="5"/>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ascii="黑体" w:hAnsi="黑体" w:eastAsia="黑体" w:cs="黑体"/>
          <w:b/>
          <w:bCs/>
          <w:sz w:val="44"/>
          <w:szCs w:val="44"/>
        </w:rPr>
        <w:t>第二部分</w:t>
      </w:r>
      <w:r>
        <w:rPr>
          <w:rFonts w:hint="eastAsia" w:hAnsi="黑体" w:cs="黑体"/>
          <w:b/>
          <w:bCs/>
          <w:sz w:val="44"/>
          <w:szCs w:val="44"/>
          <w:lang w:val="en-US" w:eastAsia="zh-CN"/>
        </w:rPr>
        <w:t xml:space="preserve"> </w:t>
      </w:r>
      <w:r>
        <w:rPr>
          <w:rFonts w:hint="eastAsia" w:ascii="黑体" w:hAnsi="黑体" w:eastAsia="黑体" w:cs="黑体"/>
          <w:b/>
          <w:bCs/>
          <w:sz w:val="44"/>
          <w:szCs w:val="44"/>
        </w:rPr>
        <w:t>部门决算表</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2020年度收入总计482.05</w:t>
      </w:r>
      <w:r>
        <w:rPr>
          <w:rFonts w:hint="eastAsia" w:ascii="仿宋" w:hAnsi="仿宋" w:eastAsia="仿宋" w:cs="仿宋"/>
          <w:b w:val="0"/>
          <w:bCs w:val="0"/>
          <w:color w:val="auto"/>
          <w:kern w:val="0"/>
          <w:sz w:val="32"/>
          <w:szCs w:val="32"/>
          <w:lang w:val="en-US" w:eastAsia="zh-CN" w:bidi="ar-SA"/>
        </w:rPr>
        <w:t>万元。与2019年相比，增加收入2.81</w:t>
      </w:r>
      <w:r>
        <w:rPr>
          <w:rFonts w:hint="eastAsia" w:ascii="仿宋" w:hAnsi="仿宋" w:eastAsia="仿宋" w:cs="仿宋"/>
          <w:b w:val="0"/>
          <w:bCs w:val="0"/>
          <w:color w:val="auto"/>
          <w:kern w:val="0"/>
          <w:sz w:val="32"/>
          <w:szCs w:val="32"/>
          <w:lang w:val="en-US" w:eastAsia="zh-CN" w:bidi="ar-SA"/>
        </w:rPr>
        <w:t>万元，增加0.59%</w:t>
      </w:r>
      <w:r>
        <w:rPr>
          <w:rFonts w:hint="eastAsia" w:ascii="仿宋" w:hAnsi="仿宋" w:eastAsia="仿宋" w:cs="仿宋"/>
          <w:b w:val="0"/>
          <w:bCs w:val="0"/>
          <w:color w:val="auto"/>
          <w:kern w:val="0"/>
          <w:sz w:val="32"/>
          <w:szCs w:val="32"/>
          <w:lang w:val="en-US" w:eastAsia="zh-CN" w:bidi="ar-SA"/>
        </w:rPr>
        <w:t>，主要是因为在职、临聘人员工资调标及相关社会保险基数调整。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2020年度支出总计482.05</w:t>
      </w:r>
      <w:r>
        <w:rPr>
          <w:rFonts w:hint="eastAsia" w:ascii="仿宋" w:hAnsi="仿宋" w:eastAsia="仿宋" w:cs="仿宋"/>
          <w:b w:val="0"/>
          <w:bCs w:val="0"/>
          <w:color w:val="auto"/>
          <w:kern w:val="0"/>
          <w:sz w:val="32"/>
          <w:szCs w:val="32"/>
          <w:lang w:val="en-US" w:eastAsia="zh-CN" w:bidi="ar-SA"/>
        </w:rPr>
        <w:t>万元。与2019年相比，增加收入2.81</w:t>
      </w:r>
      <w:r>
        <w:rPr>
          <w:rFonts w:hint="eastAsia" w:ascii="仿宋" w:hAnsi="仿宋" w:eastAsia="仿宋" w:cs="仿宋"/>
          <w:b w:val="0"/>
          <w:bCs w:val="0"/>
          <w:color w:val="auto"/>
          <w:kern w:val="0"/>
          <w:sz w:val="32"/>
          <w:szCs w:val="32"/>
          <w:lang w:val="en-US" w:eastAsia="zh-CN" w:bidi="ar-SA"/>
        </w:rPr>
        <w:t>万元，增加0.59%</w:t>
      </w:r>
      <w:r>
        <w:rPr>
          <w:rFonts w:hint="eastAsia" w:ascii="仿宋" w:hAnsi="仿宋" w:eastAsia="仿宋" w:cs="仿宋"/>
          <w:b w:val="0"/>
          <w:bCs w:val="0"/>
          <w:color w:val="auto"/>
          <w:kern w:val="0"/>
          <w:sz w:val="32"/>
          <w:szCs w:val="32"/>
          <w:lang w:val="en-US" w:eastAsia="zh-CN" w:bidi="ar-SA"/>
        </w:rPr>
        <w:t>，主要是因为在职、临聘人员工资调标及相关社会保险基数调整。</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本年收入合计476.61万元，其中：财政拨款收入476.61万元，占100%；上级补助收入0万元，占0%；事业收入0万元，占0%；经营收入0万元，占0%；附属单位上缴收入0万元，占0%；其他收入0万元，占0%。</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本年支出合计477.84万元，其中：基本支出446.22万元，占93.38%；项目支出31.62万元，占6.62%；上缴上级支出0万元，占0%；经营支出0万元，占0%；对附属单位补助支出0万元，占0%。</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2020年度财政拨款收入总计482.05</w:t>
      </w:r>
      <w:r>
        <w:rPr>
          <w:rFonts w:hint="eastAsia" w:ascii="仿宋" w:hAnsi="仿宋" w:eastAsia="仿宋" w:cs="仿宋"/>
          <w:b w:val="0"/>
          <w:bCs w:val="0"/>
          <w:color w:val="auto"/>
          <w:kern w:val="0"/>
          <w:sz w:val="32"/>
          <w:szCs w:val="32"/>
          <w:lang w:val="en-US" w:eastAsia="zh-CN" w:bidi="ar-SA"/>
        </w:rPr>
        <w:t>万元。与2019年相比，增加收入2.81</w:t>
      </w:r>
      <w:r>
        <w:rPr>
          <w:rFonts w:hint="eastAsia" w:ascii="仿宋" w:hAnsi="仿宋" w:eastAsia="仿宋" w:cs="仿宋"/>
          <w:b w:val="0"/>
          <w:bCs w:val="0"/>
          <w:color w:val="auto"/>
          <w:kern w:val="0"/>
          <w:sz w:val="32"/>
          <w:szCs w:val="32"/>
          <w:lang w:val="en-US" w:eastAsia="zh-CN" w:bidi="ar-SA"/>
        </w:rPr>
        <w:t>万元，增加0.59%</w:t>
      </w:r>
      <w:r>
        <w:rPr>
          <w:rFonts w:hint="eastAsia" w:ascii="仿宋" w:hAnsi="仿宋" w:eastAsia="仿宋" w:cs="仿宋"/>
          <w:b w:val="0"/>
          <w:bCs w:val="0"/>
          <w:color w:val="auto"/>
          <w:kern w:val="0"/>
          <w:sz w:val="32"/>
          <w:szCs w:val="32"/>
          <w:lang w:val="en-US" w:eastAsia="zh-CN" w:bidi="ar-SA"/>
        </w:rPr>
        <w:t>，主要是因为在职、临聘人员工资调标及相关社会保险基数调整。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2020年度财政拨款支出总计482.05</w:t>
      </w:r>
      <w:r>
        <w:rPr>
          <w:rFonts w:hint="eastAsia" w:ascii="仿宋" w:hAnsi="仿宋" w:eastAsia="仿宋" w:cs="仿宋"/>
          <w:b w:val="0"/>
          <w:bCs w:val="0"/>
          <w:color w:val="auto"/>
          <w:kern w:val="0"/>
          <w:sz w:val="32"/>
          <w:szCs w:val="32"/>
          <w:lang w:val="en-US" w:eastAsia="zh-CN" w:bidi="ar-SA"/>
        </w:rPr>
        <w:t>万元。与2019年相比，增加收入2.81</w:t>
      </w:r>
      <w:r>
        <w:rPr>
          <w:rFonts w:hint="eastAsia" w:ascii="仿宋" w:hAnsi="仿宋" w:eastAsia="仿宋" w:cs="仿宋"/>
          <w:b w:val="0"/>
          <w:bCs w:val="0"/>
          <w:color w:val="auto"/>
          <w:kern w:val="0"/>
          <w:sz w:val="32"/>
          <w:szCs w:val="32"/>
          <w:lang w:val="en-US" w:eastAsia="zh-CN" w:bidi="ar-SA"/>
        </w:rPr>
        <w:t>万元，增加0.59%</w:t>
      </w:r>
      <w:r>
        <w:rPr>
          <w:rFonts w:hint="eastAsia" w:ascii="仿宋" w:hAnsi="仿宋" w:eastAsia="仿宋" w:cs="仿宋"/>
          <w:b w:val="0"/>
          <w:bCs w:val="0"/>
          <w:color w:val="auto"/>
          <w:kern w:val="0"/>
          <w:sz w:val="32"/>
          <w:szCs w:val="32"/>
          <w:lang w:val="en-US" w:eastAsia="zh-CN" w:bidi="ar-SA"/>
        </w:rPr>
        <w:t>，主要是因为在职、临聘人员工资调标及相关社会保险基数调整。</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2020年度财政拨款支出477.84万元，占本年支出合计的100%，与2019年相比，财政拨款支出增加27.51万元，增长6.11%，主要是因为在职、临聘人员工资调标及相关社会保险基数调整。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2020年度财政拨款支出477.84万元，主要用于以下方面：社会保障和就业（类）支出35.86万元，占7.5%；卫生健康（类）支出415.34万元，占86.93%;住房保障（类）支出26.63万元，占5.57%。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2020年度财政拨款支出年初预算数为426.1万元，支出决算数为477.84万元，完成年初预算的112.14</w:t>
      </w:r>
      <w:r>
        <w:rPr>
          <w:rFonts w:hint="eastAsia" w:ascii="仿宋" w:hAnsi="仿宋" w:eastAsia="仿宋" w:cs="仿宋"/>
          <w:b w:val="0"/>
          <w:bCs w:val="0"/>
          <w:color w:val="auto"/>
          <w:kern w:val="0"/>
          <w:sz w:val="32"/>
          <w:szCs w:val="32"/>
          <w:lang w:val="en-US" w:eastAsia="zh-CN" w:bidi="ar-SA"/>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1、社会保障和就业支出（类）行政事业单位养老支出（款）行政单位离退休（项）。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w:t>
      </w:r>
      <w:r>
        <w:rPr>
          <w:rFonts w:hint="eastAsia" w:ascii="仿宋" w:hAnsi="仿宋" w:eastAsia="仿宋" w:cs="仿宋"/>
          <w:b w:val="0"/>
          <w:bCs w:val="0"/>
          <w:color w:val="auto"/>
          <w:kern w:val="0"/>
          <w:sz w:val="32"/>
          <w:szCs w:val="32"/>
          <w:lang w:val="en-US" w:eastAsia="zh-CN" w:bidi="ar-SA"/>
        </w:rPr>
        <w:t>万元，支出决算为16.89万元，</w:t>
      </w:r>
      <w:r>
        <w:rPr>
          <w:rFonts w:hint="eastAsia" w:ascii="仿宋" w:hAnsi="仿宋" w:eastAsia="仿宋" w:cs="仿宋"/>
          <w:b w:val="0"/>
          <w:bCs w:val="0"/>
          <w:color w:val="auto"/>
          <w:kern w:val="0"/>
          <w:sz w:val="32"/>
          <w:szCs w:val="32"/>
          <w:highlight w:val="none"/>
          <w:lang w:val="en-US" w:eastAsia="zh-CN" w:bidi="ar-SA"/>
        </w:rPr>
        <w:t>决算数小于年初预算数的主要原因是预算列入事业单位离退休功能科目。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2、社会保障和就业支出（类）行政事业单位养老支出（款）事业单位离退休（项）。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年初预算为30.7</w:t>
      </w:r>
      <w:r>
        <w:rPr>
          <w:rFonts w:hint="eastAsia" w:ascii="仿宋" w:hAnsi="仿宋" w:eastAsia="仿宋" w:cs="仿宋"/>
          <w:b w:val="0"/>
          <w:bCs w:val="0"/>
          <w:color w:val="auto"/>
          <w:kern w:val="0"/>
          <w:sz w:val="32"/>
          <w:szCs w:val="32"/>
          <w:lang w:val="en-US" w:eastAsia="zh-CN" w:bidi="ar-SA"/>
        </w:rPr>
        <w:t>万元，支出决算为3.5万元，完成年初预算的11.4</w:t>
      </w:r>
      <w:r>
        <w:rPr>
          <w:rFonts w:hint="eastAsia" w:ascii="仿宋" w:hAnsi="仿宋" w:eastAsia="仿宋" w:cs="仿宋"/>
          <w:b w:val="0"/>
          <w:bCs w:val="0"/>
          <w:color w:val="auto"/>
          <w:kern w:val="0"/>
          <w:sz w:val="32"/>
          <w:szCs w:val="32"/>
          <w:lang w:val="en-US" w:eastAsia="zh-CN" w:bidi="ar-SA"/>
        </w:rPr>
        <w:t>%，</w:t>
      </w:r>
      <w:r>
        <w:rPr>
          <w:rFonts w:hint="eastAsia" w:ascii="仿宋" w:hAnsi="仿宋" w:eastAsia="仿宋" w:cs="仿宋"/>
          <w:b w:val="0"/>
          <w:bCs w:val="0"/>
          <w:color w:val="auto"/>
          <w:kern w:val="0"/>
          <w:sz w:val="32"/>
          <w:szCs w:val="32"/>
          <w:highlight w:val="none"/>
          <w:lang w:val="en-US" w:eastAsia="zh-CN" w:bidi="ar-SA"/>
        </w:rPr>
        <w:t>决算数小于年初预算数的主要原因是部分支出列支在行政单位离退休功能科目。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3、社会保障和就业支出（类）行政事业单位养老支出（款）机关事业单位基本养老保险缴费支出（项）。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年初预算为0万元，支出决算为14.05万元，</w:t>
      </w:r>
      <w:r>
        <w:rPr>
          <w:rFonts w:hint="eastAsia" w:ascii="仿宋" w:hAnsi="仿宋" w:eastAsia="仿宋" w:cs="仿宋"/>
          <w:b w:val="0"/>
          <w:bCs w:val="0"/>
          <w:color w:val="auto"/>
          <w:kern w:val="0"/>
          <w:sz w:val="32"/>
          <w:szCs w:val="32"/>
          <w:highlight w:val="none"/>
          <w:lang w:val="en-US" w:eastAsia="zh-CN" w:bidi="ar-SA"/>
        </w:rPr>
        <w:t>决算数大于年初预算数的主要原因是预算列入事业单位离退休功能科目。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4、社会保障和就业支出（类）残疾人事业（款）其他残疾人事业支出（项）。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年初预算为0万元，支出决算为1.43万元，</w:t>
      </w:r>
      <w:r>
        <w:rPr>
          <w:rFonts w:hint="eastAsia" w:ascii="仿宋" w:hAnsi="仿宋" w:eastAsia="仿宋" w:cs="仿宋"/>
          <w:b w:val="0"/>
          <w:bCs w:val="0"/>
          <w:color w:val="auto"/>
          <w:kern w:val="0"/>
          <w:sz w:val="32"/>
          <w:szCs w:val="32"/>
          <w:highlight w:val="none"/>
          <w:lang w:val="en-US" w:eastAsia="zh-CN" w:bidi="ar-SA"/>
        </w:rPr>
        <w:t>决算数大于年初预算数的主要原因是本项目是一次性支出。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5、卫生健康支出（类）卫生健康管理事务（款）行政运行（项）。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年初预算为363.76万元，支出决算为103.22万元，完成年初预算的28.38%，决算数小于年初预算主要是在职人员工资福利支出功能科目指标调整到卫生监督机构。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6、卫生健康支出（类）卫生健康管理事务（款）其他卫生健康管理事务支出（项）。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年初预算为0万元，支出决算为3.44万元，决算数大于年初预算的主要原因是卫计执法终端设备及信息建设服务采购专项费用使用上年结余资金。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7、卫生健康支出（类）公共卫生（款）卫生监督机构（项）。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年初预算为11.64万元，支出决算为280.5万元，完成年初预算的2409.79%，</w:t>
      </w:r>
      <w:r>
        <w:rPr>
          <w:rFonts w:hint="eastAsia" w:ascii="仿宋" w:hAnsi="仿宋" w:eastAsia="仿宋" w:cs="仿宋"/>
          <w:b w:val="0"/>
          <w:bCs w:val="0"/>
          <w:color w:val="auto"/>
          <w:kern w:val="0"/>
          <w:sz w:val="32"/>
          <w:szCs w:val="32"/>
          <w:lang w:val="en-US" w:eastAsia="zh-CN" w:bidi="ar-SA"/>
        </w:rPr>
        <w:t>决算数大于年预算的主要原因是在职人员工资福利支出由行政运行功能科目调整至卫生监督机构。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8、卫生健康支出（类）公共卫生（款）基本公共卫生服务（项）。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666666"/>
          <w:spacing w:val="0"/>
          <w:sz w:val="32"/>
          <w:szCs w:val="32"/>
          <w:highlight w:val="none"/>
          <w:shd w:val="clear" w:fill="FFFFFF"/>
        </w:rPr>
      </w:pPr>
      <w:r>
        <w:rPr>
          <w:rFonts w:hint="eastAsia" w:ascii="仿宋" w:hAnsi="仿宋" w:eastAsia="仿宋" w:cs="仿宋"/>
          <w:b w:val="0"/>
          <w:bCs w:val="0"/>
          <w:color w:val="auto"/>
          <w:kern w:val="0"/>
          <w:sz w:val="32"/>
          <w:szCs w:val="32"/>
          <w:highlight w:val="none"/>
          <w:lang w:val="en-US" w:eastAsia="zh-CN" w:bidi="ar-SA"/>
        </w:rPr>
        <w:t>年初预算为0万元，支出决算为2万元，决算数大于年初预算的主要原因是</w:t>
      </w:r>
      <w:r>
        <w:rPr>
          <w:rFonts w:hint="eastAsia" w:ascii="仿宋" w:hAnsi="仿宋" w:eastAsia="仿宋" w:cs="仿宋"/>
          <w:i w:val="0"/>
          <w:iCs w:val="0"/>
          <w:caps w:val="0"/>
          <w:color w:val="666666"/>
          <w:spacing w:val="0"/>
          <w:sz w:val="32"/>
          <w:szCs w:val="32"/>
          <w:highlight w:val="none"/>
          <w:shd w:val="clear" w:fill="FFFFFF"/>
        </w:rPr>
        <w:t>2</w:t>
      </w:r>
      <w:bookmarkStart w:id="0" w:name="_GoBack"/>
      <w:r>
        <w:rPr>
          <w:rFonts w:hint="eastAsia" w:ascii="仿宋" w:hAnsi="仿宋" w:eastAsia="仿宋" w:cs="仿宋"/>
          <w:i w:val="0"/>
          <w:iCs w:val="0"/>
          <w:caps w:val="0"/>
          <w:color w:val="666666"/>
          <w:spacing w:val="0"/>
          <w:sz w:val="32"/>
          <w:szCs w:val="32"/>
          <w:highlight w:val="none"/>
          <w:shd w:val="clear" w:fill="FFFFFF"/>
        </w:rPr>
        <w:t>019年度已做预算，于2020年度执行。中央和省补助基本公共卫生服务第二批资金，长财预［2019］156号。</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9、卫生健康支出（类）公共卫生（款）重大公共卫生专项（项）。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年初预算为20万元，支出决算为20万元，完成年初预算的100%，决算数与年初预算数持平的主要原因是按预算执行。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10、卫生健康支出（类）公共卫生（款）突发公共卫生事件应急处理（项）。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年初预算为0万元，支出决算为6.18万元，决算数大于年初预算的主要原因是年中追加了疫情防控临时性补助。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11、住房保障支出（类）住房改革支出（款）住房公积金  （项）。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年初预算为0万元，支出决算为26.63万元，决算数大于年初预算的主要原因原因是</w:t>
      </w:r>
      <w:r>
        <w:rPr>
          <w:rFonts w:hint="eastAsia" w:ascii="仿宋" w:hAnsi="仿宋" w:eastAsia="仿宋" w:cs="仿宋"/>
          <w:i w:val="0"/>
          <w:iCs w:val="0"/>
          <w:caps w:val="0"/>
          <w:color w:val="auto"/>
          <w:spacing w:val="0"/>
          <w:sz w:val="32"/>
          <w:szCs w:val="32"/>
          <w:highlight w:val="none"/>
          <w:shd w:val="clear" w:color="auto" w:fill="auto"/>
        </w:rPr>
        <w:t>此项目年初预算未列明细,归总列入到了其他项下,决算数为此项的实际发生数。</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基本支出446.22万元，其中：人员经费407.68万元，占基本支出的91.36%,主要包括基本工资、津贴补贴、奖金、伙食补助费等；公用经费38.54万元，占基本支出的8.64%，主要包括办公费、印刷费、咨询费、手续费等。</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“三公”经费财政拨款支出预算为0.5万元，支出决算为0万元，完成预算的0%，其中：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公务接待费支出预算0.5万元，支出决算为0万元，决算数小于年初预算数的主要原因是本单位本年度无此项开支，与上年数持平，主要原因是厉行节约，减少开支。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2020年度“三公”经费财政拨款支出决算中，公务接待费支出决算0万元，占0 %,因公出国（境）费支出决算0万元，占0 %,公务用车购置费及运行维护费支出决算0万元，占0 %。其中：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3、公务用车购置费及运行维护费支出决算为0万元，其中：公务用车购置费0万元，更新公务用车0辆。公务用车运行维护费0万元，截至2020年12月31日，我单位开支财政拨款的公务用车保有量为0辆。</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本单位无政府性基金收支。</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根据财政预算管理要求，为进一步规范财政资金管理，强化部门责任意识，切实提高财政资金使用效益。从预算编制与执行、资金分配与执行、资金分配与使用、资金监督与管理、财务会计信息、部门整体支出管理和使用基本情况、部门整体支出绩效完成等方面进行了综合评价；评价结果表明，预算绩效目标完成情况较好，部门整体支出规范有效，没有发现违纪违规事件。</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本部门2020年度机关运行经费支出38.54万元，比年初预算数增加3.24万元，增长9.18%。主要原因是：人员增加导致办公经费微量增加。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2020年本部门开支会议费1万元，用于召开公共场所卫生监督管理会议，人数100人，内容为加大公共场所、饮用水、学校、医疗等管理单位的卫生及法律法规培训，防止传染病暴发流行、饮用水污染事件等突发公共卫生事件发生。</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开支培训费1万元，用于开展生活饮用水卫生培训，人数150人，内容为加大生活饮用水卫生法律培训覆盖范围，加强对民众生活饮用水法律法规宣传，提高对饮用水安全的防控意识。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u w:val="none"/>
          <w:lang w:val="en-US" w:eastAsia="zh-CN" w:bidi="ar-SA"/>
        </w:rPr>
      </w:pPr>
      <w:r>
        <w:rPr>
          <w:rFonts w:hint="eastAsia" w:ascii="仿宋" w:hAnsi="仿宋" w:eastAsia="仿宋" w:cs="仿宋"/>
          <w:b w:val="0"/>
          <w:bCs w:val="0"/>
          <w:color w:val="auto"/>
          <w:kern w:val="0"/>
          <w:sz w:val="32"/>
          <w:szCs w:val="32"/>
          <w:lang w:val="en-US" w:eastAsia="zh-CN" w:bidi="ar-SA"/>
        </w:rPr>
        <w:t>未</w:t>
      </w:r>
      <w:r>
        <w:rPr>
          <w:rFonts w:hint="eastAsia" w:ascii="仿宋" w:hAnsi="仿宋" w:eastAsia="仿宋" w:cs="仿宋"/>
          <w:kern w:val="0"/>
          <w:sz w:val="32"/>
          <w:szCs w:val="32"/>
        </w:rPr>
        <w:t>举办</w:t>
      </w:r>
      <w:r>
        <w:rPr>
          <w:rFonts w:hint="eastAsia" w:ascii="仿宋" w:hAnsi="仿宋" w:eastAsia="仿宋" w:cs="仿宋"/>
          <w:kern w:val="0"/>
          <w:sz w:val="32"/>
          <w:szCs w:val="32"/>
          <w:lang w:eastAsia="zh-CN"/>
        </w:rPr>
        <w:t>各</w:t>
      </w:r>
      <w:r>
        <w:rPr>
          <w:rFonts w:hint="eastAsia" w:ascii="仿宋" w:hAnsi="仿宋" w:eastAsia="仿宋" w:cs="仿宋"/>
          <w:kern w:val="0"/>
          <w:sz w:val="32"/>
          <w:szCs w:val="32"/>
        </w:rPr>
        <w:t>节庆、晚会、论坛、赛事活动，</w:t>
      </w:r>
      <w:r>
        <w:rPr>
          <w:rFonts w:hint="eastAsia" w:ascii="仿宋" w:hAnsi="仿宋" w:eastAsia="仿宋" w:cs="仿宋"/>
          <w:kern w:val="0"/>
          <w:sz w:val="32"/>
          <w:szCs w:val="32"/>
          <w:u w:val="none"/>
        </w:rPr>
        <w:t>开支</w:t>
      </w:r>
      <w:r>
        <w:rPr>
          <w:rFonts w:hint="eastAsia" w:ascii="仿宋" w:hAnsi="仿宋" w:eastAsia="仿宋" w:cs="仿宋"/>
          <w:sz w:val="32"/>
          <w:szCs w:val="32"/>
          <w:u w:val="none"/>
          <w:lang w:val="en-US" w:eastAsia="zh-CN"/>
        </w:rPr>
        <w:t>0</w:t>
      </w:r>
      <w:r>
        <w:rPr>
          <w:rFonts w:hint="eastAsia" w:ascii="仿宋" w:hAnsi="仿宋" w:eastAsia="仿宋" w:cs="仿宋"/>
          <w:kern w:val="0"/>
          <w:sz w:val="32"/>
          <w:szCs w:val="32"/>
          <w:u w:val="none"/>
        </w:rPr>
        <w:t>万元</w:t>
      </w:r>
      <w:r>
        <w:rPr>
          <w:rFonts w:hint="eastAsia" w:ascii="仿宋" w:hAnsi="仿宋" w:eastAsia="仿宋" w:cs="仿宋"/>
          <w:kern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u w:val="none"/>
          <w:lang w:val="en-US" w:eastAsia="zh-CN" w:bidi="ar-SA"/>
        </w:rPr>
      </w:pPr>
      <w:r>
        <w:rPr>
          <w:rFonts w:hint="eastAsia" w:ascii="仿宋" w:hAnsi="仿宋" w:eastAsia="仿宋" w:cs="仿宋"/>
          <w:b/>
          <w:bCs/>
          <w:color w:val="auto"/>
          <w:kern w:val="0"/>
          <w:sz w:val="32"/>
          <w:szCs w:val="32"/>
          <w:u w:val="none"/>
          <w:lang w:val="en-US" w:eastAsia="zh-CN" w:bidi="ar-SA"/>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部门2020年度政府采购支出总额0万元，其中：政府采购货物支出0万元、政府采购工程支出0万元、政府采购服务支出0万元。授予中小企业合同金额0万元，占政府采购支出总额的0 %，其中：授予小微企业合同金额0万元，占政府采购支出总额的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rPr>
      </w:pPr>
      <w:r>
        <w:rPr>
          <w:rFonts w:hint="eastAsia" w:ascii="黑体" w:hAnsi="黑体" w:eastAsia="黑体" w:cs="黑体"/>
          <w:bCs/>
          <w:kern w:val="0"/>
          <w:sz w:val="44"/>
          <w:szCs w:val="44"/>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（一）一般公共预算拨款收入：指开福区财政当年拨付的资金。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（二）基本支出：指为保障机构正常运转、完成日常工作任务而发生的人员支出和公用支出。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（三）项目支出：指在基本支出之外为完成特定行政任务和事业发展目标所发生的支出。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color w:val="auto"/>
          <w:kern w:val="0"/>
          <w:sz w:val="32"/>
          <w:szCs w:val="32"/>
          <w:lang w:val="en-US" w:eastAsia="zh-CN" w:bidi="ar-SA"/>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auto"/>
          <w:kern w:val="0"/>
          <w:sz w:val="32"/>
          <w:szCs w:val="32"/>
          <w:lang w:val="en-US" w:eastAsia="zh-CN" w:bidi="ar-SA"/>
        </w:rPr>
      </w:pPr>
    </w:p>
    <w:sectPr>
      <w:pgSz w:w="11906" w:h="16838"/>
      <w:pgMar w:top="1417" w:right="1800"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A3665"/>
    <w:multiLevelType w:val="singleLevel"/>
    <w:tmpl w:val="985A3665"/>
    <w:lvl w:ilvl="0" w:tentative="0">
      <w:start w:val="2"/>
      <w:numFmt w:val="decimal"/>
      <w:suff w:val="nothing"/>
      <w:lvlText w:val="%1、"/>
      <w:lvlJc w:val="left"/>
    </w:lvl>
  </w:abstractNum>
  <w:abstractNum w:abstractNumId="1">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jkwM2MyYmEwMTA1ZjhhYmY0MGRlZjYzZWQxMGYifQ=="/>
  </w:docVars>
  <w:rsids>
    <w:rsidRoot w:val="00000000"/>
    <w:rsid w:val="075478D8"/>
    <w:rsid w:val="0F592105"/>
    <w:rsid w:val="0FEE5DAA"/>
    <w:rsid w:val="133F50A8"/>
    <w:rsid w:val="14FE56F6"/>
    <w:rsid w:val="16097FC3"/>
    <w:rsid w:val="1A076A41"/>
    <w:rsid w:val="3231600F"/>
    <w:rsid w:val="385742CD"/>
    <w:rsid w:val="38FC4144"/>
    <w:rsid w:val="3CFE2EB7"/>
    <w:rsid w:val="3EA43108"/>
    <w:rsid w:val="5156210D"/>
    <w:rsid w:val="623108DE"/>
    <w:rsid w:val="64077F53"/>
    <w:rsid w:val="69EF15F0"/>
    <w:rsid w:val="6E8C6BE1"/>
    <w:rsid w:val="702C16BF"/>
    <w:rsid w:val="707C755F"/>
    <w:rsid w:val="756A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5260</Words>
  <Characters>5638</Characters>
  <Lines>0</Lines>
  <Paragraphs>0</Paragraphs>
  <TotalTime>7</TotalTime>
  <ScaleCrop>false</ScaleCrop>
  <LinksUpToDate>false</LinksUpToDate>
  <CharactersWithSpaces>5652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cp:lastModifiedBy>
  <dcterms:modified xsi:type="dcterms:W3CDTF">2022-08-19T01:49:29Z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