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43" w:line="320" w:lineRule="auto"/>
        <w:ind w:left="2138" w:right="1307" w:hanging="826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0"/>
          </w14:textOutline>
        </w:rPr>
        <w:t>长沙市开福区文化旅游体育局</w:t>
      </w:r>
      <w:r>
        <w:rPr>
          <w:rFonts w:ascii="宋体" w:hAnsi="宋体" w:eastAsia="宋体" w:cs="宋体"/>
          <w:spacing w:val="-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2024年部门预算公开</w:t>
      </w:r>
    </w:p>
    <w:p>
      <w:pPr>
        <w:spacing w:line="320" w:lineRule="auto"/>
        <w:rPr>
          <w:rFonts w:ascii="宋体" w:hAnsi="宋体" w:eastAsia="宋体" w:cs="宋体"/>
          <w:sz w:val="44"/>
          <w:szCs w:val="44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17" w:line="643" w:lineRule="exact"/>
        <w:ind w:left="3594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30"/>
          <w:position w:val="2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目录</w:t>
      </w:r>
    </w:p>
    <w:p>
      <w:pPr>
        <w:spacing w:line="221" w:lineRule="auto"/>
        <w:ind w:left="4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第一部分2024年部门预算说明</w:t>
      </w:r>
    </w:p>
    <w:p>
      <w:pPr>
        <w:spacing w:before="241" w:line="217" w:lineRule="auto"/>
        <w:ind w:left="4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一、部门基本概况</w:t>
      </w:r>
    </w:p>
    <w:p>
      <w:pPr>
        <w:spacing w:before="248" w:line="621" w:lineRule="exact"/>
        <w:ind w:left="4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二、部门预算单位构成</w:t>
      </w:r>
    </w:p>
    <w:p>
      <w:pPr>
        <w:spacing w:before="1" w:line="216" w:lineRule="auto"/>
        <w:ind w:left="4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三、部门收支总体情况</w:t>
      </w:r>
    </w:p>
    <w:p>
      <w:pPr>
        <w:spacing w:before="248" w:line="624" w:lineRule="exact"/>
        <w:ind w:left="4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四、一般公共预算拨款支出</w:t>
      </w:r>
    </w:p>
    <w:p>
      <w:pPr>
        <w:spacing w:before="1" w:line="215" w:lineRule="auto"/>
        <w:ind w:left="4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五、政府性基金预算支出</w:t>
      </w:r>
    </w:p>
    <w:p>
      <w:pPr>
        <w:spacing w:before="254" w:line="624" w:lineRule="exact"/>
        <w:ind w:left="4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六、其他重要事项的情况说明</w:t>
      </w:r>
    </w:p>
    <w:p>
      <w:pPr>
        <w:spacing w:line="217" w:lineRule="auto"/>
        <w:ind w:left="4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七、名词解释</w:t>
      </w:r>
    </w:p>
    <w:p>
      <w:pPr>
        <w:spacing w:before="246" w:line="222" w:lineRule="auto"/>
        <w:ind w:left="4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第二部分2024年部门预算表</w:t>
      </w:r>
    </w:p>
    <w:p>
      <w:pPr>
        <w:spacing w:before="238" w:line="627" w:lineRule="exact"/>
        <w:ind w:left="4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1、部门收支总表</w:t>
      </w:r>
    </w:p>
    <w:p>
      <w:pPr>
        <w:spacing w:before="1" w:line="216" w:lineRule="auto"/>
        <w:ind w:left="4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2、部门收入总表</w:t>
      </w:r>
    </w:p>
    <w:p>
      <w:pPr>
        <w:spacing w:before="248" w:line="217" w:lineRule="auto"/>
        <w:ind w:left="4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3、部门支出总表</w:t>
      </w:r>
    </w:p>
    <w:p>
      <w:pPr>
        <w:spacing w:before="245" w:line="218" w:lineRule="auto"/>
        <w:ind w:left="4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4、财政拨款收支总表</w:t>
      </w:r>
    </w:p>
    <w:p>
      <w:pPr>
        <w:spacing w:before="246" w:line="217" w:lineRule="auto"/>
        <w:ind w:left="4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5、一般公共预算支出表</w:t>
      </w:r>
    </w:p>
    <w:p>
      <w:pPr>
        <w:spacing w:before="248" w:line="217" w:lineRule="auto"/>
        <w:ind w:left="4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6、一般公共预算基本支出表</w:t>
      </w:r>
    </w:p>
    <w:p>
      <w:pPr>
        <w:spacing w:before="248" w:line="217" w:lineRule="auto"/>
        <w:ind w:left="4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7、一般公共预算“三公”经费支出表</w:t>
      </w:r>
    </w:p>
    <w:p>
      <w:pPr>
        <w:spacing w:before="248" w:line="215" w:lineRule="auto"/>
        <w:ind w:left="4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8、政府性基金预算支出表</w:t>
      </w:r>
    </w:p>
    <w:p>
      <w:pPr>
        <w:spacing w:before="241" w:line="217" w:lineRule="auto"/>
        <w:ind w:left="473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9、国有资本经营预算支出表</w:t>
      </w:r>
    </w:p>
    <w:p>
      <w:pPr>
        <w:spacing w:before="241" w:line="217" w:lineRule="auto"/>
        <w:ind w:left="473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10、项目支出绩效目标表</w:t>
      </w:r>
    </w:p>
    <w:p>
      <w:pPr>
        <w:spacing w:before="241" w:line="217" w:lineRule="auto"/>
        <w:ind w:left="473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11、部门整体支出绩效目标表</w:t>
      </w:r>
    </w:p>
    <w:p>
      <w:pPr>
        <w:spacing w:before="155" w:line="182" w:lineRule="auto"/>
        <w:rPr>
          <w:rFonts w:ascii="仿宋" w:hAnsi="仿宋" w:eastAsia="仿宋" w:cs="仿宋"/>
          <w:spacing w:val="-7"/>
          <w:position w:val="23"/>
          <w:sz w:val="32"/>
          <w:szCs w:val="32"/>
        </w:rPr>
      </w:pP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注：以上部门预算报表中，空表表示本部门无相关收支情况</w:t>
      </w:r>
    </w:p>
    <w:p>
      <w:pPr>
        <w:spacing w:before="155" w:line="182" w:lineRule="auto"/>
        <w:ind w:left="2116"/>
        <w:rPr>
          <w:rFonts w:ascii="仿宋" w:hAnsi="仿宋" w:eastAsia="仿宋" w:cs="仿宋"/>
          <w:spacing w:val="-7"/>
          <w:position w:val="23"/>
          <w:sz w:val="32"/>
          <w:szCs w:val="32"/>
        </w:rPr>
      </w:pPr>
    </w:p>
    <w:p>
      <w:pPr>
        <w:spacing w:before="155" w:line="182" w:lineRule="auto"/>
        <w:ind w:left="2116"/>
        <w:rPr>
          <w:rFonts w:ascii="仿宋" w:hAnsi="仿宋" w:eastAsia="仿宋" w:cs="仿宋"/>
          <w:spacing w:val="-7"/>
          <w:position w:val="23"/>
          <w:sz w:val="32"/>
          <w:szCs w:val="32"/>
        </w:rPr>
      </w:pPr>
    </w:p>
    <w:p>
      <w:pPr>
        <w:spacing w:before="155" w:line="182" w:lineRule="auto"/>
        <w:ind w:left="2116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第一部分部门预算公开说明</w:t>
      </w:r>
    </w:p>
    <w:p>
      <w:pPr>
        <w:spacing w:before="104" w:line="625" w:lineRule="exact"/>
        <w:ind w:left="65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position w:val="2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一、部门基本概况</w:t>
      </w:r>
    </w:p>
    <w:p>
      <w:pPr>
        <w:spacing w:before="1" w:line="216" w:lineRule="auto"/>
        <w:ind w:left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（1）职能职责</w:t>
      </w:r>
    </w:p>
    <w:p>
      <w:pPr>
        <w:spacing w:before="248" w:line="217" w:lineRule="auto"/>
        <w:ind w:left="468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（一）研究拟订全区文化、旅游、体育相关政策措施，统筹规划全区文化事业、旅游业和体育事业发展，拟订发展规划并组织实施，推进文化和旅游、体育融合发展，推进文化、旅游和体育领域体制机制改革。</w:t>
      </w:r>
    </w:p>
    <w:p>
      <w:pPr>
        <w:spacing w:before="248" w:line="217" w:lineRule="auto"/>
        <w:ind w:left="468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二）管理全区重大文化、旅游和体育活动，指导全区重点文化、旅游和体育设施建设，组织全区文化、旅游和体育整体形象宣传推广，促进文化、旅游和体育领域产业对外合作和市场推广，制定旅游市场开发战略并组织实施，指导、推进全域旅游。</w:t>
      </w:r>
    </w:p>
    <w:p>
      <w:pPr>
        <w:spacing w:before="248" w:line="217" w:lineRule="auto"/>
        <w:ind w:left="468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（三）指导、管理全区文艺事业，指导艺术创作生产，扶持体现社会主义核心价值观、具有导向性代表性示范性的文艺作品，推动各门类艺术、各艺术品种发展。</w:t>
      </w:r>
    </w:p>
    <w:p>
      <w:pPr>
        <w:spacing w:before="248" w:line="217" w:lineRule="auto"/>
        <w:ind w:left="468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（四）负责推进全区文化、旅游和体育公共服务体系建设，深入实施文化、旅游和体育惠民工程，统筹推进基本公共文化服务标准化、均等化。</w:t>
      </w:r>
    </w:p>
    <w:p>
      <w:pPr>
        <w:spacing w:before="248" w:line="217" w:lineRule="auto"/>
        <w:ind w:left="468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（五）指导、推进全区文化、旅游和体育科技创新发展，推进文化、旅游和体育行业信息化、标准化建设。</w:t>
      </w:r>
    </w:p>
    <w:p>
      <w:pPr>
        <w:spacing w:before="248" w:line="217" w:lineRule="auto"/>
        <w:ind w:left="468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（六）负责全区非物质文化遗产保护，推动非物质文化遗</w:t>
      </w:r>
    </w:p>
    <w:p>
      <w:pPr>
        <w:spacing w:before="248" w:line="217" w:lineRule="auto"/>
        <w:ind w:left="468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产的保护、传承、普及、弘扬和振兴。</w:t>
      </w:r>
    </w:p>
    <w:p>
      <w:pPr>
        <w:spacing w:before="248" w:line="217" w:lineRule="auto"/>
        <w:ind w:left="468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（七）推行全民健身计划，指导并开展全区群众性体育活动，贯彻实施国家体育锻炼标准，开展国民体质监测。统筹规划青少年体育发展，指导和推进青少年体育工作，推动学校体</w:t>
      </w:r>
    </w:p>
    <w:p>
      <w:pPr>
        <w:spacing w:before="248" w:line="217" w:lineRule="auto"/>
        <w:ind w:left="468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育设施向公众开放。负责全区体育社团的资格审核。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（八）统筹规划竞技体育发展，研究全区竞技体育项目设置与布局，指导协调体育训练和体育竞赛，负责全区举办的国际国内重大比赛的组织、指导与协调，组织开展体育科研活动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和成果推广。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（九）组织实施文化、旅游和体育资源普查、挖掘、保护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和利用工作，促进文化、旅游和体育领域产业发展。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（十）指导全区文化、旅游和体育领域市场发展，对文化、旅游和体育领域市场经营进行行业监管，推进文化、旅游和体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育行业信用体系建设，依法规范文化、旅游和体育领域市场。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（十一）配合文化市场综合执法，维护市场秩序。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（十二）管理全区文物事业，指导开展文物的保护、管理、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利用工作。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（十三）指导全区文化、旅游、体育行业人才队伍建设。</w:t>
      </w:r>
    </w:p>
    <w:p>
      <w:pPr>
        <w:spacing w:before="241" w:line="217" w:lineRule="auto"/>
        <w:ind w:left="473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（十四）完成区委、区政府交办的其他任务。</w:t>
      </w:r>
    </w:p>
    <w:p>
      <w:pPr>
        <w:spacing w:before="249" w:line="217" w:lineRule="auto"/>
        <w:ind w:left="6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（2）机构设置</w:t>
      </w:r>
    </w:p>
    <w:p>
      <w:pPr>
        <w:spacing w:before="247" w:line="360" w:lineRule="auto"/>
        <w:ind w:left="5" w:right="95" w:firstLine="652"/>
        <w:jc w:val="both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2024年部门预算编报范围包括局机关和3个二级机构。3</w:t>
      </w:r>
      <w:r>
        <w:rPr>
          <w:rFonts w:ascii="仿宋" w:hAnsi="仿宋" w:eastAsia="仿宋" w:cs="仿宋"/>
          <w:spacing w:val="3"/>
          <w:sz w:val="32"/>
          <w:szCs w:val="32"/>
        </w:rPr>
        <w:t>个二级机构分别是文化馆（副科级事业单位）、图书馆</w:t>
      </w:r>
      <w:r>
        <w:rPr>
          <w:rFonts w:ascii="仿宋" w:hAnsi="仿宋" w:eastAsia="仿宋" w:cs="仿宋"/>
          <w:spacing w:val="2"/>
          <w:sz w:val="32"/>
          <w:szCs w:val="32"/>
        </w:rPr>
        <w:t>（副科</w:t>
      </w:r>
      <w:r>
        <w:rPr>
          <w:rFonts w:ascii="仿宋" w:hAnsi="仿宋" w:eastAsia="仿宋" w:cs="仿宋"/>
          <w:spacing w:val="3"/>
          <w:sz w:val="32"/>
          <w:szCs w:val="32"/>
        </w:rPr>
        <w:t>级事业单位）、考古研究和文物保护中心。人员情况：</w:t>
      </w:r>
      <w:r>
        <w:rPr>
          <w:rFonts w:ascii="仿宋" w:hAnsi="仿宋" w:eastAsia="仿宋" w:cs="仿宋"/>
          <w:spacing w:val="2"/>
          <w:sz w:val="32"/>
          <w:szCs w:val="32"/>
        </w:rPr>
        <w:t>本部门</w:t>
      </w:r>
      <w:r>
        <w:rPr>
          <w:rFonts w:ascii="仿宋" w:hAnsi="仿宋" w:eastAsia="仿宋" w:cs="仿宋"/>
          <w:spacing w:val="-8"/>
          <w:sz w:val="32"/>
          <w:szCs w:val="32"/>
        </w:rPr>
        <w:t>编制数19人，在职人</w:t>
      </w:r>
      <w:r>
        <w:rPr>
          <w:rFonts w:ascii="仿宋" w:hAnsi="仿宋" w:eastAsia="仿宋" w:cs="仿宋"/>
          <w:spacing w:val="-8"/>
          <w:w w:val="96"/>
          <w:sz w:val="32"/>
          <w:szCs w:val="32"/>
        </w:rPr>
        <w:t>数18人，其中：在岗人数18人；编外长</w:t>
      </w:r>
      <w:r>
        <w:rPr>
          <w:rFonts w:ascii="仿宋" w:hAnsi="仿宋" w:eastAsia="仿宋" w:cs="仿宋"/>
          <w:spacing w:val="-9"/>
          <w:w w:val="96"/>
          <w:sz w:val="32"/>
          <w:szCs w:val="32"/>
        </w:rPr>
        <w:t>期聘用人员9人；退休人数11人</w:t>
      </w:r>
      <w:r>
        <w:rPr>
          <w:rFonts w:ascii="仿宋" w:hAnsi="仿宋" w:eastAsia="仿宋" w:cs="仿宋"/>
          <w:spacing w:val="-9"/>
          <w:sz w:val="32"/>
          <w:szCs w:val="32"/>
        </w:rPr>
        <w:t>。</w:t>
      </w:r>
    </w:p>
    <w:p>
      <w:pPr>
        <w:spacing w:line="215" w:lineRule="auto"/>
        <w:ind w:left="10"/>
        <w:rPr>
          <w:rFonts w:ascii="仿宋" w:hAnsi="仿宋" w:eastAsia="仿宋" w:cs="仿宋"/>
          <w:spacing w:val="-9"/>
          <w:sz w:val="32"/>
          <w:szCs w:val="32"/>
        </w:rPr>
      </w:pPr>
    </w:p>
    <w:p>
      <w:pPr>
        <w:spacing w:line="216" w:lineRule="auto"/>
        <w:rPr>
          <w:rFonts w:hint="eastAsia" w:ascii="仿宋" w:hAnsi="仿宋" w:eastAsia="仿宋" w:cs="仿宋"/>
          <w:sz w:val="32"/>
          <w:szCs w:val="32"/>
        </w:rPr>
        <w:sectPr>
          <w:pgSz w:w="11906" w:h="16839"/>
          <w:pgMar w:top="1440" w:right="1080" w:bottom="1440" w:left="1080" w:header="0" w:footer="0" w:gutter="0"/>
          <w:cols w:space="720" w:num="1"/>
        </w:sectPr>
      </w:pPr>
    </w:p>
    <w:p>
      <w:pPr>
        <w:spacing w:before="248" w:line="222" w:lineRule="auto"/>
        <w:ind w:left="65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二、部门预算单位构成</w:t>
      </w:r>
    </w:p>
    <w:p>
      <w:pPr>
        <w:spacing w:before="241" w:line="360" w:lineRule="auto"/>
        <w:ind w:left="18" w:right="95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长沙市开福区文化旅游体育局部门只有本级，没有其他二</w:t>
      </w:r>
      <w:r>
        <w:rPr>
          <w:rFonts w:ascii="仿宋" w:hAnsi="仿宋" w:eastAsia="仿宋" w:cs="仿宋"/>
          <w:spacing w:val="-18"/>
          <w:sz w:val="32"/>
          <w:szCs w:val="32"/>
        </w:rPr>
        <w:t>级预算单位，因此，纳入2024年部门预算编制</w:t>
      </w:r>
      <w:r>
        <w:rPr>
          <w:rFonts w:ascii="仿宋" w:hAnsi="仿宋" w:eastAsia="仿宋" w:cs="仿宋"/>
          <w:spacing w:val="-19"/>
          <w:sz w:val="32"/>
          <w:szCs w:val="32"/>
        </w:rPr>
        <w:t>范围的只有长沙</w:t>
      </w:r>
      <w:r>
        <w:rPr>
          <w:rFonts w:ascii="仿宋" w:hAnsi="仿宋" w:eastAsia="仿宋" w:cs="仿宋"/>
          <w:spacing w:val="-7"/>
          <w:sz w:val="32"/>
          <w:szCs w:val="32"/>
        </w:rPr>
        <w:t>市开福区文化旅游体育局本级。</w:t>
      </w:r>
    </w:p>
    <w:p>
      <w:pPr>
        <w:spacing w:before="246" w:line="223" w:lineRule="auto"/>
        <w:ind w:left="651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三、部门收支总体情况</w:t>
      </w:r>
    </w:p>
    <w:p>
      <w:pPr>
        <w:spacing w:before="235" w:line="360" w:lineRule="auto"/>
        <w:ind w:right="95" w:firstLine="632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1906" w:h="16839"/>
          <w:pgMar w:top="1440" w:right="1080" w:bottom="1440" w:left="1080" w:header="0" w:footer="0" w:gutter="0"/>
          <w:cols w:space="720" w:num="1"/>
        </w:sectPr>
      </w:pPr>
      <w:r>
        <w:rPr>
          <w:rFonts w:ascii="仿宋" w:hAnsi="仿宋" w:eastAsia="仿宋" w:cs="仿宋"/>
          <w:spacing w:val="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（一）收入预算：</w:t>
      </w:r>
      <w:r>
        <w:rPr>
          <w:rFonts w:ascii="仿宋" w:hAnsi="仿宋" w:eastAsia="仿宋" w:cs="仿宋"/>
          <w:spacing w:val="3"/>
          <w:sz w:val="32"/>
          <w:szCs w:val="32"/>
        </w:rPr>
        <w:t>包括一般公共预算、政府性基金、国有</w:t>
      </w:r>
      <w:r>
        <w:rPr>
          <w:rFonts w:ascii="仿宋" w:hAnsi="仿宋" w:eastAsia="仿宋" w:cs="仿宋"/>
          <w:sz w:val="32"/>
          <w:szCs w:val="32"/>
        </w:rPr>
        <w:t>资本经营预算等财政拨款收入，以及经营收入、事业收入等单</w:t>
      </w:r>
      <w:r>
        <w:rPr>
          <w:rFonts w:ascii="仿宋" w:hAnsi="仿宋" w:eastAsia="仿宋" w:cs="仿宋"/>
          <w:spacing w:val="-2"/>
          <w:sz w:val="32"/>
          <w:szCs w:val="32"/>
        </w:rPr>
        <w:t>位资金。2024年本单位收入预算1003</w:t>
      </w:r>
      <w:r>
        <w:rPr>
          <w:rFonts w:ascii="仿宋" w:hAnsi="仿宋" w:eastAsia="仿宋" w:cs="仿宋"/>
          <w:spacing w:val="-3"/>
          <w:sz w:val="32"/>
          <w:szCs w:val="32"/>
        </w:rPr>
        <w:t>.17万元，其中，一般公</w:t>
      </w:r>
      <w:r>
        <w:rPr>
          <w:rFonts w:ascii="仿宋" w:hAnsi="仿宋" w:eastAsia="仿宋" w:cs="仿宋"/>
          <w:spacing w:val="-1"/>
          <w:sz w:val="32"/>
          <w:szCs w:val="32"/>
        </w:rPr>
        <w:t>共预算拨款1003.17万元。收入较去年减少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33.08</w:t>
      </w:r>
      <w:r>
        <w:rPr>
          <w:rFonts w:ascii="仿宋" w:hAnsi="仿宋" w:eastAsia="仿宋" w:cs="仿宋"/>
          <w:spacing w:val="-1"/>
          <w:sz w:val="32"/>
          <w:szCs w:val="32"/>
        </w:rPr>
        <w:t>万元，下降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3.19%</w:t>
      </w:r>
      <w:r>
        <w:rPr>
          <w:rFonts w:ascii="仿宋" w:hAnsi="仿宋" w:eastAsia="仿宋" w:cs="仿宋"/>
          <w:spacing w:val="-16"/>
          <w:sz w:val="32"/>
          <w:szCs w:val="32"/>
        </w:rPr>
        <w:t>。主要是进一步厉行节约坚持过紧日子的</w:t>
      </w:r>
      <w:r>
        <w:rPr>
          <w:rFonts w:hint="eastAsia" w:ascii="仿宋" w:hAnsi="仿宋" w:eastAsia="仿宋" w:cs="仿宋"/>
          <w:spacing w:val="-16"/>
          <w:sz w:val="32"/>
          <w:szCs w:val="32"/>
          <w:lang w:eastAsia="zh-CN"/>
        </w:rPr>
        <w:t>政策</w:t>
      </w:r>
      <w:r>
        <w:rPr>
          <w:rFonts w:ascii="仿宋" w:hAnsi="仿宋" w:eastAsia="仿宋" w:cs="仿宋"/>
          <w:spacing w:val="-16"/>
          <w:sz w:val="32"/>
          <w:szCs w:val="32"/>
        </w:rPr>
        <w:t>，节约开支</w:t>
      </w:r>
      <w:r>
        <w:rPr>
          <w:rFonts w:hint="eastAsia" w:ascii="仿宋" w:hAnsi="仿宋" w:eastAsia="仿宋" w:cs="仿宋"/>
          <w:spacing w:val="-16"/>
          <w:sz w:val="32"/>
          <w:szCs w:val="32"/>
          <w:lang w:eastAsia="zh-CN"/>
        </w:rPr>
        <w:t>。</w:t>
      </w:r>
      <w:r>
        <w:rPr>
          <w:position w:val="-109"/>
        </w:rPr>
        <w:drawing>
          <wp:inline distT="0" distB="0" distL="0" distR="0">
            <wp:extent cx="3577590" cy="3473450"/>
            <wp:effectExtent l="0" t="0" r="3810" b="1270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8121" cy="34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71" w:lineRule="auto"/>
      </w:pPr>
    </w:p>
    <w:p>
      <w:pPr>
        <w:spacing w:before="104" w:line="360" w:lineRule="auto"/>
        <w:ind w:firstLine="632" w:firstLineChars="200"/>
        <w:jc w:val="both"/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（二）支出预算：</w:t>
      </w:r>
      <w:r>
        <w:rPr>
          <w:rFonts w:ascii="仿宋" w:hAnsi="仿宋" w:eastAsia="仿宋" w:cs="仿宋"/>
          <w:spacing w:val="-2"/>
          <w:sz w:val="32"/>
          <w:szCs w:val="32"/>
        </w:rPr>
        <w:t>2024年本单位支出预算</w:t>
      </w:r>
      <w:r>
        <w:rPr>
          <w:rFonts w:ascii="仿宋" w:hAnsi="仿宋" w:eastAsia="仿宋" w:cs="仿宋"/>
          <w:spacing w:val="-3"/>
          <w:sz w:val="32"/>
          <w:szCs w:val="32"/>
        </w:rPr>
        <w:t>1003.17万元，</w:t>
      </w:r>
      <w:r>
        <w:rPr>
          <w:rFonts w:ascii="仿宋" w:hAnsi="仿宋" w:eastAsia="仿宋" w:cs="仿宋"/>
          <w:spacing w:val="-5"/>
          <w:sz w:val="32"/>
          <w:szCs w:val="32"/>
        </w:rPr>
        <w:t>其中：文化旅游体育与传媒支出774.35万元，社会保障和就业</w:t>
      </w:r>
      <w:r>
        <w:rPr>
          <w:rFonts w:ascii="仿宋" w:hAnsi="仿宋" w:eastAsia="仿宋" w:cs="仿宋"/>
          <w:sz w:val="32"/>
          <w:szCs w:val="32"/>
        </w:rPr>
        <w:t>支出142.72万元，卫生健康支出36.63万元，住房保障支出</w:t>
      </w:r>
      <w:r>
        <w:rPr>
          <w:rFonts w:ascii="仿宋" w:hAnsi="仿宋" w:eastAsia="仿宋" w:cs="仿宋"/>
          <w:spacing w:val="-11"/>
          <w:sz w:val="32"/>
          <w:szCs w:val="32"/>
        </w:rPr>
        <w:t>49.47万元。支出较去年减少33.08万元，下降3.19%。主要是</w:t>
      </w:r>
      <w:r>
        <w:rPr>
          <w:rFonts w:ascii="仿宋" w:hAnsi="仿宋" w:eastAsia="仿宋" w:cs="仿宋"/>
          <w:spacing w:val="3"/>
          <w:sz w:val="32"/>
          <w:szCs w:val="32"/>
        </w:rPr>
        <w:t>进一步厉行节约坚持过紧日子的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政策</w:t>
      </w:r>
      <w:r>
        <w:rPr>
          <w:rFonts w:ascii="仿宋" w:hAnsi="仿宋" w:eastAsia="仿宋" w:cs="仿宋"/>
          <w:spacing w:val="3"/>
          <w:sz w:val="32"/>
          <w:szCs w:val="32"/>
        </w:rPr>
        <w:t>，节约开支，减少</w:t>
      </w:r>
      <w:r>
        <w:rPr>
          <w:rFonts w:ascii="仿宋" w:hAnsi="仿宋" w:eastAsia="仿宋" w:cs="仿宋"/>
          <w:spacing w:val="2"/>
          <w:sz w:val="32"/>
          <w:szCs w:val="32"/>
        </w:rPr>
        <w:t>各线的</w:t>
      </w:r>
      <w:r>
        <w:rPr>
          <w:rFonts w:ascii="仿宋" w:hAnsi="仿宋" w:eastAsia="仿宋" w:cs="仿宋"/>
          <w:spacing w:val="-14"/>
          <w:sz w:val="32"/>
          <w:szCs w:val="32"/>
        </w:rPr>
        <w:t>项目支出。</w:t>
      </w:r>
    </w:p>
    <w:p>
      <w:pPr>
        <w:pStyle w:val="2"/>
        <w:spacing w:line="352" w:lineRule="auto"/>
      </w:pPr>
    </w:p>
    <w:p>
      <w:pPr>
        <w:spacing w:line="5212" w:lineRule="exact"/>
        <w:jc w:val="center"/>
      </w:pPr>
      <w:r>
        <w:rPr>
          <w:position w:val="-104"/>
        </w:rPr>
        <w:drawing>
          <wp:inline distT="0" distB="0" distL="0" distR="0">
            <wp:extent cx="4351655" cy="3308985"/>
            <wp:effectExtent l="0" t="0" r="10795" b="571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112" cy="330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4" w:line="221" w:lineRule="auto"/>
        <w:ind w:left="66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四、一般公共预算拨款支出</w:t>
      </w:r>
    </w:p>
    <w:p>
      <w:pPr>
        <w:spacing w:before="104" w:line="360" w:lineRule="auto"/>
        <w:ind w:firstLine="627"/>
        <w:jc w:val="both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2024年本单位一般公共预算拨款支出1003.17万元，其中：文化旅游体育与传媒支出774.35万元，占77.19%；社会保障和就业支出142.72万元，占14.23%；卫生健康支出36.63万元，占3.65%；住房保障支出49.47万元，占4.93%。具体安排情况如下：</w:t>
      </w:r>
    </w:p>
    <w:p>
      <w:pPr>
        <w:numPr>
          <w:ilvl w:val="0"/>
          <w:numId w:val="0"/>
        </w:numPr>
        <w:spacing w:before="242" w:line="360" w:lineRule="auto"/>
        <w:ind w:firstLine="608" w:firstLineChars="200"/>
        <w:jc w:val="both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</w:t>
      </w:r>
      <w:r>
        <w:rPr>
          <w:rFonts w:ascii="仿宋" w:hAnsi="仿宋" w:eastAsia="仿宋" w:cs="仿宋"/>
          <w:spacing w:val="-8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基本支出：</w:t>
      </w:r>
      <w:r>
        <w:rPr>
          <w:rFonts w:ascii="仿宋" w:hAnsi="仿宋" w:eastAsia="仿宋" w:cs="仿宋"/>
          <w:spacing w:val="-8"/>
          <w:sz w:val="32"/>
          <w:szCs w:val="32"/>
        </w:rPr>
        <w:t>2024年本单位基本支出预算数722.89万</w:t>
      </w:r>
      <w:r>
        <w:rPr>
          <w:rFonts w:ascii="仿宋" w:hAnsi="仿宋" w:eastAsia="仿宋" w:cs="仿宋"/>
          <w:spacing w:val="3"/>
          <w:sz w:val="32"/>
          <w:szCs w:val="32"/>
        </w:rPr>
        <w:t>元，主要是为保障部门正常运转、完成日常工作任务而发</w:t>
      </w:r>
      <w:r>
        <w:rPr>
          <w:rFonts w:ascii="仿宋" w:hAnsi="仿宋" w:eastAsia="仿宋" w:cs="仿宋"/>
          <w:spacing w:val="2"/>
          <w:sz w:val="32"/>
          <w:szCs w:val="32"/>
        </w:rPr>
        <w:t>生的</w:t>
      </w:r>
      <w:r>
        <w:rPr>
          <w:rFonts w:ascii="仿宋" w:hAnsi="仿宋" w:eastAsia="仿宋" w:cs="仿宋"/>
          <w:spacing w:val="3"/>
          <w:sz w:val="32"/>
          <w:szCs w:val="32"/>
        </w:rPr>
        <w:t>各项支出，包括用于基本工资、津贴补贴等人员经费以及</w:t>
      </w:r>
      <w:r>
        <w:rPr>
          <w:rFonts w:ascii="仿宋" w:hAnsi="仿宋" w:eastAsia="仿宋" w:cs="仿宋"/>
          <w:spacing w:val="2"/>
          <w:sz w:val="32"/>
          <w:szCs w:val="32"/>
        </w:rPr>
        <w:t>办公</w:t>
      </w:r>
      <w:r>
        <w:rPr>
          <w:rFonts w:ascii="仿宋" w:hAnsi="仿宋" w:eastAsia="仿宋" w:cs="仿宋"/>
          <w:spacing w:val="-5"/>
          <w:sz w:val="32"/>
          <w:szCs w:val="32"/>
        </w:rPr>
        <w:t>费、印刷费、水电费、办公设备购置等公用经费。</w:t>
      </w:r>
    </w:p>
    <w:p>
      <w:pPr>
        <w:numPr>
          <w:ilvl w:val="0"/>
          <w:numId w:val="0"/>
        </w:numPr>
        <w:spacing w:before="242" w:line="360" w:lineRule="auto"/>
        <w:ind w:firstLine="58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（二）项目支出：</w:t>
      </w:r>
      <w:r>
        <w:rPr>
          <w:rFonts w:ascii="仿宋" w:hAnsi="仿宋" w:eastAsia="仿宋" w:cs="仿宋"/>
          <w:spacing w:val="-15"/>
          <w:sz w:val="32"/>
          <w:szCs w:val="32"/>
        </w:rPr>
        <w:t>2024年本单位项目支出预算280.28万元，</w:t>
      </w:r>
      <w:r>
        <w:rPr>
          <w:rFonts w:ascii="仿宋" w:hAnsi="仿宋" w:eastAsia="仿宋" w:cs="仿宋"/>
          <w:spacing w:val="3"/>
          <w:sz w:val="32"/>
          <w:szCs w:val="32"/>
        </w:rPr>
        <w:t>主要是单位为完成特定行政工作任务或事业发展目标而</w:t>
      </w:r>
      <w:r>
        <w:rPr>
          <w:rFonts w:ascii="仿宋" w:hAnsi="仿宋" w:eastAsia="仿宋" w:cs="仿宋"/>
          <w:spacing w:val="2"/>
          <w:sz w:val="32"/>
          <w:szCs w:val="32"/>
        </w:rPr>
        <w:t>发生的</w:t>
      </w:r>
      <w:r>
        <w:rPr>
          <w:rFonts w:ascii="仿宋" w:hAnsi="仿宋" w:eastAsia="仿宋" w:cs="仿宋"/>
          <w:spacing w:val="-11"/>
          <w:sz w:val="32"/>
          <w:szCs w:val="32"/>
        </w:rPr>
        <w:t>支出，包括有关事业发展专项、专项业务费、基本建设支出等，</w:t>
      </w:r>
      <w:r>
        <w:rPr>
          <w:rFonts w:ascii="仿宋" w:hAnsi="仿宋" w:eastAsia="仿宋" w:cs="仿宋"/>
          <w:spacing w:val="-1"/>
          <w:sz w:val="32"/>
          <w:szCs w:val="32"/>
        </w:rPr>
        <w:t>其中：文化旅游体育与传媒支出280.28万元，主要用于24小</w:t>
      </w:r>
      <w:r>
        <w:rPr>
          <w:rFonts w:ascii="仿宋" w:hAnsi="仿宋" w:eastAsia="仿宋" w:cs="仿宋"/>
          <w:spacing w:val="3"/>
          <w:sz w:val="32"/>
          <w:szCs w:val="32"/>
        </w:rPr>
        <w:t>时馆运行维护、标准村、社区综合文化站服务中心经费</w:t>
      </w:r>
      <w:r>
        <w:rPr>
          <w:rFonts w:ascii="仿宋" w:hAnsi="仿宋" w:eastAsia="仿宋" w:cs="仿宋"/>
          <w:spacing w:val="2"/>
          <w:sz w:val="32"/>
          <w:szCs w:val="32"/>
        </w:rPr>
        <w:t>、非物</w:t>
      </w:r>
      <w:r>
        <w:rPr>
          <w:rFonts w:ascii="仿宋" w:hAnsi="仿宋" w:eastAsia="仿宋" w:cs="仿宋"/>
          <w:spacing w:val="3"/>
          <w:sz w:val="32"/>
          <w:szCs w:val="32"/>
        </w:rPr>
        <w:t>质文化遗产保护经费、街道文化站免费开放经费、开福</w:t>
      </w:r>
      <w:r>
        <w:rPr>
          <w:rFonts w:ascii="仿宋" w:hAnsi="仿宋" w:eastAsia="仿宋" w:cs="仿宋"/>
          <w:spacing w:val="2"/>
          <w:sz w:val="32"/>
          <w:szCs w:val="32"/>
        </w:rPr>
        <w:t>游如意</w:t>
      </w:r>
      <w:r>
        <w:rPr>
          <w:rFonts w:ascii="仿宋" w:hAnsi="仿宋" w:eastAsia="仿宋" w:cs="仿宋"/>
          <w:spacing w:val="3"/>
          <w:sz w:val="32"/>
          <w:szCs w:val="32"/>
        </w:rPr>
        <w:t>码功能升级和维护经费、体育协会经费、图书采购、报</w:t>
      </w:r>
      <w:r>
        <w:rPr>
          <w:rFonts w:ascii="仿宋" w:hAnsi="仿宋" w:eastAsia="仿宋" w:cs="仿宋"/>
          <w:spacing w:val="2"/>
          <w:sz w:val="32"/>
          <w:szCs w:val="32"/>
        </w:rPr>
        <w:t>刊杂志</w:t>
      </w:r>
      <w:r>
        <w:rPr>
          <w:rFonts w:ascii="仿宋" w:hAnsi="仿宋" w:eastAsia="仿宋" w:cs="仿宋"/>
          <w:spacing w:val="-5"/>
          <w:sz w:val="32"/>
          <w:szCs w:val="32"/>
        </w:rPr>
        <w:t>订阅、图书分馆运行经费、图书馆工作经费、文化馆工作经费、</w:t>
      </w:r>
      <w:r>
        <w:rPr>
          <w:rFonts w:ascii="仿宋" w:hAnsi="仿宋" w:eastAsia="仿宋" w:cs="仿宋"/>
          <w:spacing w:val="-3"/>
          <w:sz w:val="32"/>
          <w:szCs w:val="32"/>
        </w:rPr>
        <w:t>文旅工作经费、文物保护工作经费、有线数</w:t>
      </w:r>
      <w:r>
        <w:rPr>
          <w:rFonts w:ascii="仿宋" w:hAnsi="仿宋" w:eastAsia="仿宋" w:cs="仿宋"/>
          <w:spacing w:val="-4"/>
          <w:sz w:val="32"/>
          <w:szCs w:val="32"/>
        </w:rPr>
        <w:t>字电视服务费等。</w:t>
      </w:r>
    </w:p>
    <w:p>
      <w:pPr>
        <w:spacing w:before="248" w:line="222" w:lineRule="auto"/>
        <w:ind w:left="656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五、政府性基金预算支出</w:t>
      </w:r>
    </w:p>
    <w:p>
      <w:pPr>
        <w:spacing w:before="241" w:line="215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2024年本单位无政府性基金安排的支出。</w:t>
      </w:r>
    </w:p>
    <w:p>
      <w:pPr>
        <w:spacing w:before="249" w:line="221" w:lineRule="auto"/>
        <w:ind w:left="657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六、其他重要事项的情况说明</w:t>
      </w:r>
    </w:p>
    <w:p>
      <w:pPr>
        <w:spacing w:before="245" w:line="359" w:lineRule="auto"/>
        <w:ind w:left="12" w:right="159" w:firstLine="622"/>
        <w:jc w:val="both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（一）机关运行经费：</w:t>
      </w:r>
      <w:r>
        <w:rPr>
          <w:rFonts w:ascii="仿宋" w:hAnsi="仿宋" w:eastAsia="仿宋" w:cs="仿宋"/>
          <w:sz w:val="32"/>
          <w:szCs w:val="32"/>
        </w:rPr>
        <w:t>2024年长沙市开福区</w:t>
      </w:r>
      <w:r>
        <w:rPr>
          <w:rFonts w:ascii="仿宋" w:hAnsi="仿宋" w:eastAsia="仿宋" w:cs="仿宋"/>
          <w:spacing w:val="-1"/>
          <w:sz w:val="32"/>
          <w:szCs w:val="32"/>
        </w:rPr>
        <w:t>文化旅游体育</w:t>
      </w:r>
      <w:r>
        <w:rPr>
          <w:rFonts w:ascii="仿宋" w:hAnsi="仿宋" w:eastAsia="仿宋" w:cs="仿宋"/>
          <w:spacing w:val="-4"/>
          <w:sz w:val="32"/>
          <w:szCs w:val="32"/>
        </w:rPr>
        <w:t>局机关运行经费24.05万元，比上年预算减少34.</w:t>
      </w:r>
      <w:r>
        <w:rPr>
          <w:rFonts w:ascii="仿宋" w:hAnsi="仿宋" w:eastAsia="仿宋" w:cs="仿宋"/>
          <w:spacing w:val="-5"/>
          <w:sz w:val="32"/>
          <w:szCs w:val="32"/>
        </w:rPr>
        <w:t>82万元，下</w:t>
      </w:r>
      <w:r>
        <w:rPr>
          <w:rFonts w:ascii="仿宋" w:hAnsi="仿宋" w:eastAsia="仿宋" w:cs="仿宋"/>
          <w:spacing w:val="-1"/>
          <w:sz w:val="32"/>
          <w:szCs w:val="32"/>
        </w:rPr>
        <w:t>降59.15%。主要是进一步厉行节约坚持过紧日</w:t>
      </w:r>
      <w:r>
        <w:rPr>
          <w:rFonts w:ascii="仿宋" w:hAnsi="仿宋" w:eastAsia="仿宋" w:cs="仿宋"/>
          <w:spacing w:val="-2"/>
          <w:sz w:val="32"/>
          <w:szCs w:val="32"/>
        </w:rPr>
        <w:t>子的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政策</w:t>
      </w:r>
      <w:r>
        <w:rPr>
          <w:rFonts w:ascii="仿宋" w:hAnsi="仿宋" w:eastAsia="仿宋" w:cs="仿宋"/>
          <w:spacing w:val="-2"/>
          <w:sz w:val="32"/>
          <w:szCs w:val="32"/>
        </w:rPr>
        <w:t>，节约</w:t>
      </w:r>
      <w:r>
        <w:rPr>
          <w:rFonts w:ascii="仿宋" w:hAnsi="仿宋" w:eastAsia="仿宋" w:cs="仿宋"/>
          <w:spacing w:val="-7"/>
          <w:sz w:val="32"/>
          <w:szCs w:val="32"/>
        </w:rPr>
        <w:t>开支，减少各线的项目支出。</w:t>
      </w:r>
    </w:p>
    <w:p>
      <w:pPr>
        <w:spacing w:before="245" w:line="359" w:lineRule="auto"/>
        <w:ind w:left="12" w:right="159" w:firstLine="622"/>
        <w:jc w:val="both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（二）“三公”经费预算：</w:t>
      </w:r>
      <w:r>
        <w:rPr>
          <w:rFonts w:ascii="仿宋" w:hAnsi="仿宋" w:eastAsia="仿宋" w:cs="仿宋"/>
          <w:spacing w:val="-11"/>
          <w:sz w:val="32"/>
          <w:szCs w:val="32"/>
        </w:rPr>
        <w:t>2024年长沙市开福区文化旅游体育局“三公”经费预算数为0.50万元，其中，公务接待费0.50万元，公务用车购置及运行费0.00万元（其中，公务用车购置费0.00万元，公务用车运行费0.00万元），因公出国（境）0.00万元。2024年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“</w:t>
      </w:r>
      <w:r>
        <w:rPr>
          <w:rFonts w:ascii="仿宋" w:hAnsi="仿宋" w:eastAsia="仿宋" w:cs="仿宋"/>
          <w:spacing w:val="-11"/>
          <w:sz w:val="32"/>
          <w:szCs w:val="32"/>
        </w:rPr>
        <w:t>三公”经费预算与2023年持平，主要是进一步厉行节约坚持过紧日子的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政策</w:t>
      </w:r>
      <w:r>
        <w:rPr>
          <w:rFonts w:ascii="仿宋" w:hAnsi="仿宋" w:eastAsia="仿宋" w:cs="仿宋"/>
          <w:spacing w:val="-11"/>
          <w:sz w:val="32"/>
          <w:szCs w:val="32"/>
        </w:rPr>
        <w:t>，节约开支。</w:t>
      </w:r>
    </w:p>
    <w:p>
      <w:pPr>
        <w:spacing w:before="245" w:line="359" w:lineRule="auto"/>
        <w:ind w:left="12" w:right="159" w:firstLine="622"/>
        <w:jc w:val="both"/>
        <w:rPr>
          <w:rFonts w:ascii="仿宋" w:hAnsi="仿宋" w:eastAsia="仿宋" w:cs="仿宋"/>
          <w:spacing w:val="9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（三）一般性支出情况：</w:t>
      </w:r>
      <w:r>
        <w:rPr>
          <w:rFonts w:ascii="仿宋" w:hAnsi="仿宋" w:eastAsia="仿宋" w:cs="仿宋"/>
          <w:spacing w:val="9"/>
          <w:sz w:val="32"/>
          <w:szCs w:val="32"/>
        </w:rPr>
        <w:t>2024年本单位会议费预算0万元；培训费预算7.89万元，拟开展文化市场、旅游市场和文物市场安全生产和业务培训，人数2000人，进一步规范文化、旅游、体育、文物、市场各线监管的行业进行4场次的安全生产和业务培训；未举办节庆、晚会、论坛、赛事等活动。</w:t>
      </w:r>
    </w:p>
    <w:p>
      <w:pPr>
        <w:spacing w:before="248" w:line="359" w:lineRule="auto"/>
        <w:ind w:left="23" w:right="76" w:firstLine="6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（四）政府采购情况：</w:t>
      </w:r>
      <w:r>
        <w:rPr>
          <w:rFonts w:ascii="仿宋" w:hAnsi="仿宋" w:eastAsia="仿宋" w:cs="仿宋"/>
          <w:spacing w:val="9"/>
          <w:sz w:val="32"/>
          <w:szCs w:val="32"/>
        </w:rPr>
        <w:t>2024年本单位政府采购预算总额</w:t>
      </w:r>
      <w:r>
        <w:rPr>
          <w:rFonts w:ascii="仿宋" w:hAnsi="仿宋" w:eastAsia="仿宋" w:cs="仿宋"/>
          <w:spacing w:val="-9"/>
          <w:sz w:val="32"/>
          <w:szCs w:val="32"/>
        </w:rPr>
        <w:t>5.08万元，其中，货物类采购预算5.08万元；工程类采购预算</w:t>
      </w:r>
      <w:r>
        <w:rPr>
          <w:rFonts w:ascii="仿宋" w:hAnsi="仿宋" w:eastAsia="仿宋" w:cs="仿宋"/>
          <w:spacing w:val="-11"/>
          <w:sz w:val="32"/>
          <w:szCs w:val="32"/>
        </w:rPr>
        <w:t>0万元；服务类采购预算0万元。</w:t>
      </w:r>
    </w:p>
    <w:p>
      <w:pPr>
        <w:spacing w:before="249" w:line="360" w:lineRule="auto"/>
        <w:ind w:left="3" w:right="76" w:firstLine="6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（五）国有资产占用使用及新增资产配置情况：</w:t>
      </w:r>
      <w:r>
        <w:rPr>
          <w:rFonts w:ascii="仿宋" w:hAnsi="仿宋" w:eastAsia="仿宋" w:cs="仿宋"/>
          <w:spacing w:val="-11"/>
          <w:sz w:val="32"/>
          <w:szCs w:val="32"/>
        </w:rPr>
        <w:t>截至2023</w:t>
      </w:r>
      <w:r>
        <w:rPr>
          <w:rFonts w:ascii="仿宋" w:hAnsi="仿宋" w:eastAsia="仿宋" w:cs="仿宋"/>
          <w:spacing w:val="-22"/>
          <w:sz w:val="32"/>
          <w:szCs w:val="32"/>
        </w:rPr>
        <w:t>年12月底，本单位共有公务用车0辆，其中，机要通信用车0</w:t>
      </w:r>
      <w:r>
        <w:rPr>
          <w:rFonts w:ascii="仿宋" w:hAnsi="仿宋" w:eastAsia="仿宋" w:cs="仿宋"/>
          <w:spacing w:val="-1"/>
          <w:sz w:val="32"/>
          <w:szCs w:val="32"/>
        </w:rPr>
        <w:t>辆，应急保障用车0辆，执法执勤用车0辆，特种专业技术用</w:t>
      </w:r>
      <w:r>
        <w:rPr>
          <w:rFonts w:ascii="仿宋" w:hAnsi="仿宋" w:eastAsia="仿宋" w:cs="仿宋"/>
          <w:spacing w:val="-8"/>
          <w:sz w:val="32"/>
          <w:szCs w:val="32"/>
        </w:rPr>
        <w:t>车0辆，其他按照规定配备的公务用车0辆；</w:t>
      </w:r>
      <w:r>
        <w:rPr>
          <w:rFonts w:ascii="仿宋" w:hAnsi="仿宋" w:eastAsia="仿宋" w:cs="仿宋"/>
          <w:spacing w:val="-9"/>
          <w:sz w:val="32"/>
          <w:szCs w:val="32"/>
        </w:rPr>
        <w:t>单位价值50万元</w:t>
      </w:r>
      <w:r>
        <w:rPr>
          <w:rFonts w:ascii="仿宋" w:hAnsi="仿宋" w:eastAsia="仿宋" w:cs="仿宋"/>
          <w:spacing w:val="-16"/>
          <w:sz w:val="32"/>
          <w:szCs w:val="32"/>
        </w:rPr>
        <w:t>以上通用设备0台，单位价值100万元以上专用设备0台。20</w:t>
      </w:r>
      <w:r>
        <w:rPr>
          <w:rFonts w:ascii="仿宋" w:hAnsi="仿宋" w:eastAsia="仿宋" w:cs="仿宋"/>
          <w:spacing w:val="-17"/>
          <w:sz w:val="32"/>
          <w:szCs w:val="32"/>
        </w:rPr>
        <w:t>24</w:t>
      </w:r>
      <w:r>
        <w:rPr>
          <w:rFonts w:ascii="仿宋" w:hAnsi="仿宋" w:eastAsia="仿宋" w:cs="仿宋"/>
          <w:spacing w:val="-1"/>
          <w:sz w:val="32"/>
          <w:szCs w:val="32"/>
        </w:rPr>
        <w:t>年拟新增配置公务用车0辆，其中，机要通信用车0辆，应急</w:t>
      </w:r>
      <w:r>
        <w:rPr>
          <w:rFonts w:ascii="仿宋" w:hAnsi="仿宋" w:eastAsia="仿宋" w:cs="仿宋"/>
          <w:spacing w:val="-3"/>
          <w:sz w:val="32"/>
          <w:szCs w:val="32"/>
        </w:rPr>
        <w:t>保障用车0辆，执法执勤用车0辆，特种专业技术用车0辆，</w:t>
      </w:r>
      <w:r>
        <w:rPr>
          <w:rFonts w:ascii="仿宋" w:hAnsi="仿宋" w:eastAsia="仿宋" w:cs="仿宋"/>
          <w:spacing w:val="-7"/>
          <w:sz w:val="32"/>
          <w:szCs w:val="32"/>
        </w:rPr>
        <w:t>其他按照规定配备的公务用车0辆；新增配备单位价值50万元</w:t>
      </w:r>
      <w:r>
        <w:rPr>
          <w:rFonts w:ascii="仿宋" w:hAnsi="仿宋" w:eastAsia="仿宋" w:cs="仿宋"/>
          <w:spacing w:val="-12"/>
          <w:sz w:val="32"/>
          <w:szCs w:val="32"/>
        </w:rPr>
        <w:t>以上通用设备0台，单位价值100万元</w:t>
      </w:r>
      <w:r>
        <w:rPr>
          <w:rFonts w:ascii="仿宋" w:hAnsi="仿宋" w:eastAsia="仿宋" w:cs="仿宋"/>
          <w:spacing w:val="-13"/>
          <w:sz w:val="32"/>
          <w:szCs w:val="32"/>
        </w:rPr>
        <w:t>以上专用设备0台。</w:t>
      </w:r>
    </w:p>
    <w:p>
      <w:pPr>
        <w:spacing w:before="249" w:line="360" w:lineRule="auto"/>
        <w:ind w:right="76" w:firstLine="652" w:firstLineChars="200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（六）预算绩效目标说明：</w:t>
      </w:r>
      <w:r>
        <w:rPr>
          <w:rFonts w:ascii="仿宋" w:hAnsi="仿宋" w:eastAsia="仿宋" w:cs="仿宋"/>
          <w:spacing w:val="-9"/>
          <w:sz w:val="32"/>
          <w:szCs w:val="32"/>
        </w:rPr>
        <w:t>本单位所有支出实行绩效目标管理。纳入2024年部门整体支出绩效目标的金额为1003.17万元，其中，基本支出722.89万元，项目支出280.28万元。</w:t>
      </w:r>
    </w:p>
    <w:p>
      <w:pPr>
        <w:spacing w:before="246" w:line="222" w:lineRule="auto"/>
        <w:ind w:left="643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七、名词解释</w:t>
      </w:r>
    </w:p>
    <w:p>
      <w:pPr>
        <w:spacing w:before="239" w:line="360" w:lineRule="auto"/>
        <w:ind w:left="1" w:right="95" w:firstLine="12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1．机关运行经费：是指各部门的公用经费，包括办公</w:t>
      </w:r>
      <w:r>
        <w:rPr>
          <w:rFonts w:ascii="仿宋" w:hAnsi="仿宋" w:eastAsia="仿宋" w:cs="仿宋"/>
          <w:spacing w:val="3"/>
          <w:sz w:val="32"/>
          <w:szCs w:val="32"/>
        </w:rPr>
        <w:t>及印刷费、邮电费、差旅费、会议费、福利费、日常维</w:t>
      </w:r>
      <w:r>
        <w:rPr>
          <w:rFonts w:ascii="仿宋" w:hAnsi="仿宋" w:eastAsia="仿宋" w:cs="仿宋"/>
          <w:spacing w:val="2"/>
          <w:sz w:val="32"/>
          <w:szCs w:val="32"/>
        </w:rPr>
        <w:t>修费、</w:t>
      </w:r>
      <w:r>
        <w:rPr>
          <w:rFonts w:ascii="仿宋" w:hAnsi="仿宋" w:eastAsia="仿宋" w:cs="仿宋"/>
          <w:spacing w:val="3"/>
          <w:sz w:val="32"/>
          <w:szCs w:val="32"/>
        </w:rPr>
        <w:t>专用资料及一般设备购置费、办公用房水电费、办公用房取暖</w:t>
      </w:r>
      <w:r>
        <w:rPr>
          <w:rFonts w:ascii="仿宋" w:hAnsi="仿宋" w:eastAsia="仿宋" w:cs="仿宋"/>
          <w:spacing w:val="-6"/>
          <w:sz w:val="32"/>
          <w:szCs w:val="32"/>
        </w:rPr>
        <w:t>费、办公用房物业管理费、公务用车运行维护费以及其他费用。</w:t>
      </w:r>
    </w:p>
    <w:p>
      <w:pPr>
        <w:spacing w:before="249" w:line="360" w:lineRule="auto"/>
        <w:ind w:right="95" w:firstLine="1277"/>
      </w:pPr>
      <w:r>
        <w:rPr>
          <w:rFonts w:ascii="仿宋" w:hAnsi="仿宋" w:eastAsia="仿宋" w:cs="仿宋"/>
          <w:spacing w:val="-25"/>
          <w:sz w:val="32"/>
          <w:szCs w:val="32"/>
        </w:rPr>
        <w:t>2．“三公”经费：纳入省（市/县）财政预算管理的“三</w:t>
      </w:r>
      <w:r>
        <w:rPr>
          <w:rFonts w:ascii="仿宋" w:hAnsi="仿宋" w:eastAsia="仿宋" w:cs="仿宋"/>
          <w:spacing w:val="1"/>
          <w:sz w:val="32"/>
          <w:szCs w:val="32"/>
        </w:rPr>
        <w:t>公“经费，是指用一般公共预算拨款安排的公务接待费、公务</w:t>
      </w:r>
      <w:r>
        <w:rPr>
          <w:rFonts w:ascii="仿宋" w:hAnsi="仿宋" w:eastAsia="仿宋" w:cs="仿宋"/>
          <w:spacing w:val="3"/>
          <w:sz w:val="32"/>
          <w:szCs w:val="32"/>
        </w:rPr>
        <w:t>用车购置及运行维护费和因公出国（境）费。其中，公务接待费反映单位按规定开支的各类公务接待支出；公务用车购置及</w:t>
      </w:r>
      <w:r>
        <w:rPr>
          <w:rFonts w:ascii="仿宋" w:hAnsi="仿宋" w:eastAsia="仿宋" w:cs="仿宋"/>
          <w:sz w:val="32"/>
          <w:szCs w:val="32"/>
        </w:rPr>
        <w:t>运行费反映单位公务用车车辆购置支出（含车辆购置税</w:t>
      </w:r>
      <w:r>
        <w:rPr>
          <w:rFonts w:ascii="仿宋" w:hAnsi="仿宋" w:eastAsia="仿宋" w:cs="仿宋"/>
          <w:spacing w:val="8"/>
          <w:sz w:val="32"/>
          <w:szCs w:val="32"/>
        </w:rPr>
        <w:t>），</w:t>
      </w:r>
      <w:r>
        <w:rPr>
          <w:rFonts w:ascii="仿宋" w:hAnsi="仿宋" w:eastAsia="仿宋" w:cs="仿宋"/>
          <w:sz w:val="32"/>
          <w:szCs w:val="32"/>
        </w:rPr>
        <w:t>以及燃料费、维修费、保险费等支出；因公出国（境）费反映单</w:t>
      </w:r>
      <w:r>
        <w:rPr>
          <w:rFonts w:ascii="仿宋" w:hAnsi="仿宋" w:eastAsia="仿宋" w:cs="仿宋"/>
          <w:spacing w:val="3"/>
          <w:sz w:val="32"/>
          <w:szCs w:val="32"/>
        </w:rPr>
        <w:t>位公务出国（境）的国际旅费、国外城市间交通费、住宿</w:t>
      </w:r>
      <w:r>
        <w:rPr>
          <w:rFonts w:ascii="仿宋" w:hAnsi="仿宋" w:eastAsia="仿宋" w:cs="仿宋"/>
          <w:spacing w:val="2"/>
          <w:sz w:val="32"/>
          <w:szCs w:val="32"/>
        </w:rPr>
        <w:t>费、</w:t>
      </w:r>
      <w:r>
        <w:rPr>
          <w:rFonts w:ascii="仿宋" w:hAnsi="仿宋" w:eastAsia="仿宋" w:cs="仿宋"/>
          <w:spacing w:val="-5"/>
          <w:sz w:val="32"/>
          <w:szCs w:val="32"/>
        </w:rPr>
        <w:t>伙食费、培训费、公杂费等等支出。</w:t>
      </w:r>
    </w:p>
    <w:p>
      <w:pPr>
        <w:spacing w:before="247" w:line="218" w:lineRule="auto"/>
        <w:ind w:left="634"/>
        <w:rPr>
          <w:rFonts w:ascii="仿宋" w:hAnsi="仿宋" w:eastAsia="仿宋" w:cs="仿宋"/>
          <w:sz w:val="32"/>
          <w:szCs w:val="32"/>
        </w:rPr>
        <w:sectPr>
          <w:pgSz w:w="11906" w:h="16839"/>
          <w:pgMar w:top="1440" w:right="1080" w:bottom="1383" w:left="1080" w:header="0" w:footer="0" w:gutter="0"/>
          <w:paperSrc/>
          <w:cols w:space="0" w:num="1"/>
          <w:rtlGutter w:val="0"/>
          <w:docGrid w:linePitch="0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63" w:line="225" w:lineRule="auto"/>
        <w:jc w:val="center"/>
        <w:rPr>
          <w:rFonts w:ascii="宋体" w:hAnsi="宋体" w:eastAsia="宋体" w:cs="宋体"/>
          <w:spacing w:val="5"/>
          <w:position w:val="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5"/>
          <w:position w:val="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第一部分2024年部门</w:t>
      </w:r>
      <w:bookmarkStart w:id="0" w:name="_GoBack"/>
      <w:bookmarkEnd w:id="0"/>
      <w:r>
        <w:rPr>
          <w:rFonts w:ascii="宋体" w:hAnsi="宋体" w:eastAsia="宋体" w:cs="宋体"/>
          <w:spacing w:val="5"/>
          <w:position w:val="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预算表</w:t>
      </w:r>
    </w:p>
    <w:p>
      <w:pPr>
        <w:spacing w:before="63" w:line="225" w:lineRule="auto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2024年部门收支总体情况表</w:t>
      </w: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单位:万元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771" w:right="1140" w:bottom="0" w:left="1072" w:header="0" w:footer="0" w:gutter="0"/>
          <w:cols w:equalWidth="0" w:num="2">
            <w:col w:w="13612" w:space="100"/>
            <w:col w:w="91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6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3"/>
        <w:gridCol w:w="3191"/>
        <w:gridCol w:w="4076"/>
        <w:gridCol w:w="3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274" w:type="dxa"/>
            <w:gridSpan w:val="2"/>
            <w:vAlign w:val="top"/>
          </w:tcPr>
          <w:p>
            <w:pPr>
              <w:pStyle w:val="6"/>
              <w:spacing w:before="150" w:line="229" w:lineRule="auto"/>
              <w:ind w:left="249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收入</w:t>
            </w:r>
          </w:p>
        </w:tc>
        <w:tc>
          <w:tcPr>
            <w:tcW w:w="7335" w:type="dxa"/>
            <w:gridSpan w:val="2"/>
            <w:vAlign w:val="top"/>
          </w:tcPr>
          <w:p>
            <w:pPr>
              <w:pStyle w:val="6"/>
              <w:spacing w:before="151" w:line="229" w:lineRule="auto"/>
              <w:ind w:left="252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145" w:line="229" w:lineRule="auto"/>
              <w:ind w:left="136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项目</w:t>
            </w:r>
          </w:p>
        </w:tc>
        <w:tc>
          <w:tcPr>
            <w:tcW w:w="3191" w:type="dxa"/>
            <w:vAlign w:val="top"/>
          </w:tcPr>
          <w:p>
            <w:pPr>
              <w:pStyle w:val="6"/>
              <w:spacing w:before="144" w:line="228" w:lineRule="auto"/>
              <w:ind w:left="119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本年预算</w:t>
            </w:r>
          </w:p>
        </w:tc>
        <w:tc>
          <w:tcPr>
            <w:tcW w:w="4076" w:type="dxa"/>
            <w:vAlign w:val="top"/>
          </w:tcPr>
          <w:p>
            <w:pPr>
              <w:pStyle w:val="6"/>
              <w:spacing w:before="145" w:line="229" w:lineRule="auto"/>
              <w:ind w:left="136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项目</w:t>
            </w:r>
          </w:p>
        </w:tc>
        <w:tc>
          <w:tcPr>
            <w:tcW w:w="3259" w:type="dxa"/>
            <w:vAlign w:val="top"/>
          </w:tcPr>
          <w:p>
            <w:pPr>
              <w:pStyle w:val="6"/>
              <w:spacing w:before="144" w:line="228" w:lineRule="auto"/>
              <w:ind w:left="123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277" w:line="219" w:lineRule="auto"/>
              <w:ind w:left="32"/>
            </w:pPr>
            <w:r>
              <w:rPr>
                <w:spacing w:val="-1"/>
              </w:rPr>
              <w:t>一、本级财政拨款收入</w:t>
            </w:r>
          </w:p>
        </w:tc>
        <w:tc>
          <w:tcPr>
            <w:tcW w:w="3191" w:type="dxa"/>
            <w:vAlign w:val="top"/>
          </w:tcPr>
          <w:p>
            <w:pPr>
              <w:pStyle w:val="6"/>
              <w:spacing w:before="295" w:line="184" w:lineRule="auto"/>
              <w:ind w:right="21"/>
              <w:jc w:val="right"/>
            </w:pPr>
            <w:r>
              <w:rPr>
                <w:spacing w:val="-3"/>
              </w:rPr>
              <w:t>1,003.17</w:t>
            </w:r>
          </w:p>
        </w:tc>
        <w:tc>
          <w:tcPr>
            <w:tcW w:w="4076" w:type="dxa"/>
            <w:vAlign w:val="top"/>
          </w:tcPr>
          <w:p>
            <w:pPr>
              <w:pStyle w:val="6"/>
              <w:spacing w:before="277" w:line="219" w:lineRule="auto"/>
              <w:ind w:left="33"/>
            </w:pPr>
            <w:r>
              <w:rPr>
                <w:spacing w:val="-2"/>
              </w:rPr>
              <w:t>一、基本支出</w:t>
            </w:r>
          </w:p>
        </w:tc>
        <w:tc>
          <w:tcPr>
            <w:tcW w:w="3259" w:type="dxa"/>
            <w:vAlign w:val="top"/>
          </w:tcPr>
          <w:p>
            <w:pPr>
              <w:pStyle w:val="6"/>
              <w:spacing w:before="296" w:line="183" w:lineRule="auto"/>
              <w:ind w:right="21"/>
              <w:jc w:val="right"/>
            </w:pPr>
            <w:r>
              <w:rPr>
                <w:spacing w:val="-2"/>
              </w:rPr>
              <w:t>722.89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286" w:line="219" w:lineRule="auto"/>
              <w:ind w:left="32"/>
            </w:pPr>
            <w:r>
              <w:rPr>
                <w:spacing w:val="-1"/>
              </w:rPr>
              <w:t>二、财政专户管理事业收入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vAlign w:val="top"/>
          </w:tcPr>
          <w:p>
            <w:pPr>
              <w:pStyle w:val="6"/>
              <w:spacing w:before="286" w:line="220" w:lineRule="auto"/>
              <w:ind w:left="33"/>
            </w:pPr>
            <w:r>
              <w:rPr>
                <w:spacing w:val="-2"/>
              </w:rPr>
              <w:t>二、项目支出</w:t>
            </w:r>
          </w:p>
        </w:tc>
        <w:tc>
          <w:tcPr>
            <w:tcW w:w="3259" w:type="dxa"/>
            <w:vAlign w:val="top"/>
          </w:tcPr>
          <w:p>
            <w:pPr>
              <w:pStyle w:val="6"/>
              <w:spacing w:before="297" w:line="183" w:lineRule="auto"/>
              <w:ind w:right="21"/>
              <w:jc w:val="right"/>
            </w:pPr>
            <w:r>
              <w:rPr>
                <w:spacing w:val="-2"/>
              </w:rPr>
              <w:t>280.28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281" w:line="219" w:lineRule="auto"/>
              <w:ind w:left="29"/>
            </w:pPr>
            <w:r>
              <w:rPr>
                <w:spacing w:val="-1"/>
              </w:rPr>
              <w:t>三、事业单位经营服务收入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vAlign w:val="top"/>
          </w:tcPr>
          <w:p>
            <w:pPr>
              <w:pStyle w:val="6"/>
              <w:spacing w:before="280" w:line="220" w:lineRule="auto"/>
              <w:ind w:left="30"/>
            </w:pPr>
            <w:r>
              <w:rPr>
                <w:spacing w:val="-1"/>
              </w:rPr>
              <w:t>三、事业单位经营支出</w:t>
            </w:r>
          </w:p>
        </w:tc>
        <w:tc>
          <w:tcPr>
            <w:tcW w:w="3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289" w:line="219" w:lineRule="auto"/>
              <w:ind w:left="46"/>
            </w:pPr>
            <w:r>
              <w:rPr>
                <w:spacing w:val="-3"/>
              </w:rPr>
              <w:t>四、上级补助收入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vAlign w:val="top"/>
          </w:tcPr>
          <w:p>
            <w:pPr>
              <w:pStyle w:val="6"/>
              <w:spacing w:before="288" w:line="219" w:lineRule="auto"/>
              <w:ind w:left="47"/>
            </w:pPr>
            <w:r>
              <w:rPr>
                <w:spacing w:val="-3"/>
              </w:rPr>
              <w:t>四、对附属单位补助支出</w:t>
            </w:r>
          </w:p>
        </w:tc>
        <w:tc>
          <w:tcPr>
            <w:tcW w:w="3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284" w:line="219" w:lineRule="auto"/>
              <w:ind w:left="32"/>
            </w:pPr>
            <w:r>
              <w:rPr>
                <w:spacing w:val="-2"/>
              </w:rPr>
              <w:t>五、其它收入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vAlign w:val="top"/>
          </w:tcPr>
          <w:p>
            <w:pPr>
              <w:pStyle w:val="6"/>
              <w:spacing w:before="284" w:line="219" w:lineRule="auto"/>
              <w:ind w:left="33"/>
            </w:pPr>
            <w:r>
              <w:rPr>
                <w:spacing w:val="-2"/>
              </w:rPr>
              <w:t>五、上缴上级支出</w:t>
            </w:r>
          </w:p>
        </w:tc>
        <w:tc>
          <w:tcPr>
            <w:tcW w:w="3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292" w:line="219" w:lineRule="auto"/>
              <w:ind w:left="30"/>
            </w:pPr>
            <w:r>
              <w:rPr>
                <w:spacing w:val="-2"/>
              </w:rPr>
              <w:t>六、事业收入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285" w:line="219" w:lineRule="auto"/>
              <w:ind w:left="1282"/>
            </w:pPr>
            <w:r>
              <w:rPr>
                <w:spacing w:val="-6"/>
              </w:rPr>
              <w:t>本年收入合计</w:t>
            </w:r>
          </w:p>
        </w:tc>
        <w:tc>
          <w:tcPr>
            <w:tcW w:w="319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right="21"/>
              <w:jc w:val="right"/>
            </w:pPr>
            <w:r>
              <w:rPr>
                <w:spacing w:val="-3"/>
              </w:rPr>
              <w:t>1,003.17</w:t>
            </w:r>
          </w:p>
        </w:tc>
        <w:tc>
          <w:tcPr>
            <w:tcW w:w="4076" w:type="dxa"/>
            <w:vAlign w:val="top"/>
          </w:tcPr>
          <w:p>
            <w:pPr>
              <w:pStyle w:val="6"/>
              <w:spacing w:before="285" w:line="219" w:lineRule="auto"/>
              <w:ind w:left="1283"/>
            </w:pPr>
            <w:r>
              <w:rPr>
                <w:spacing w:val="-9"/>
              </w:rPr>
              <w:t>本年支出合计</w:t>
            </w:r>
          </w:p>
        </w:tc>
        <w:tc>
          <w:tcPr>
            <w:tcW w:w="325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right="21"/>
              <w:jc w:val="right"/>
            </w:pPr>
            <w:r>
              <w:rPr>
                <w:spacing w:val="-3"/>
              </w:rPr>
              <w:t>1,003.17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287" w:line="219" w:lineRule="auto"/>
              <w:ind w:left="28"/>
            </w:pPr>
            <w:r>
              <w:rPr>
                <w:spacing w:val="-2"/>
              </w:rPr>
              <w:t>七、上年结转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vAlign w:val="top"/>
          </w:tcPr>
          <w:p>
            <w:pPr>
              <w:pStyle w:val="6"/>
              <w:spacing w:before="286" w:line="220" w:lineRule="auto"/>
              <w:ind w:left="31"/>
            </w:pPr>
            <w:r>
              <w:rPr>
                <w:spacing w:val="-2"/>
              </w:rPr>
              <w:t>六、结余分配</w:t>
            </w:r>
          </w:p>
        </w:tc>
        <w:tc>
          <w:tcPr>
            <w:tcW w:w="3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6" w:type="dxa"/>
            <w:vAlign w:val="top"/>
          </w:tcPr>
          <w:p>
            <w:pPr>
              <w:pStyle w:val="6"/>
              <w:spacing w:before="295" w:line="219" w:lineRule="auto"/>
              <w:ind w:left="29"/>
            </w:pPr>
            <w:r>
              <w:rPr>
                <w:spacing w:val="-2"/>
              </w:rPr>
              <w:t>七、结转下年</w:t>
            </w:r>
          </w:p>
        </w:tc>
        <w:tc>
          <w:tcPr>
            <w:tcW w:w="3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4083" w:type="dxa"/>
            <w:vAlign w:val="top"/>
          </w:tcPr>
          <w:p>
            <w:pPr>
              <w:pStyle w:val="6"/>
              <w:spacing w:before="289" w:line="219" w:lineRule="auto"/>
              <w:ind w:left="1558"/>
            </w:pPr>
            <w:r>
              <w:rPr>
                <w:spacing w:val="-8"/>
              </w:rPr>
              <w:t>收入总计</w:t>
            </w:r>
          </w:p>
        </w:tc>
        <w:tc>
          <w:tcPr>
            <w:tcW w:w="31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right="21"/>
              <w:jc w:val="right"/>
            </w:pPr>
            <w:r>
              <w:rPr>
                <w:spacing w:val="-3"/>
              </w:rPr>
              <w:t>1,003.17</w:t>
            </w:r>
          </w:p>
        </w:tc>
        <w:tc>
          <w:tcPr>
            <w:tcW w:w="4076" w:type="dxa"/>
            <w:vAlign w:val="top"/>
          </w:tcPr>
          <w:p>
            <w:pPr>
              <w:pStyle w:val="6"/>
              <w:spacing w:before="288" w:line="220" w:lineRule="auto"/>
              <w:ind w:left="1553"/>
            </w:pPr>
            <w:r>
              <w:rPr>
                <w:spacing w:val="-11"/>
              </w:rPr>
              <w:t>支出总计</w:t>
            </w:r>
          </w:p>
        </w:tc>
        <w:tc>
          <w:tcPr>
            <w:tcW w:w="32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right="21"/>
              <w:jc w:val="right"/>
            </w:pPr>
            <w:r>
              <w:rPr>
                <w:spacing w:val="-3"/>
              </w:rPr>
              <w:t>1,003.17</w:t>
            </w:r>
          </w:p>
        </w:tc>
      </w:tr>
    </w:tbl>
    <w:p>
      <w:pPr>
        <w:spacing w:before="288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注：本表反映部门本年度的总收支和年末结转结余情况。本表金额转换为万元时，因四舍五入</w:t>
      </w:r>
      <w:r>
        <w:rPr>
          <w:rFonts w:ascii="宋体" w:hAnsi="宋体" w:eastAsia="宋体" w:cs="宋体"/>
          <w:spacing w:val="-1"/>
          <w:sz w:val="18"/>
          <w:szCs w:val="18"/>
        </w:rPr>
        <w:t>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771" w:right="1140" w:bottom="0" w:left="1072" w:header="0" w:footer="0" w:gutter="0"/>
          <w:cols w:equalWidth="0" w:num="1">
            <w:col w:w="14625"/>
          </w:cols>
        </w:sectPr>
      </w:pPr>
    </w:p>
    <w:p>
      <w:pPr>
        <w:spacing w:before="63" w:line="225" w:lineRule="auto"/>
        <w:ind w:left="531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2024年部门收入总体情况表</w:t>
      </w:r>
    </w:p>
    <w:p>
      <w:pPr>
        <w:spacing w:before="13"/>
      </w:pPr>
    </w:p>
    <w:p>
      <w:pPr>
        <w:sectPr>
          <w:pgSz w:w="16838" w:h="11906"/>
          <w:pgMar w:top="1011" w:right="1125" w:bottom="0" w:left="1072" w:header="0" w:footer="0" w:gutter="0"/>
          <w:cols w:equalWidth="0" w:num="1">
            <w:col w:w="14640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125" w:bottom="0" w:left="1072" w:header="0" w:footer="0" w:gutter="0"/>
          <w:cols w:equalWidth="0" w:num="2">
            <w:col w:w="13537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6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764"/>
        <w:gridCol w:w="764"/>
        <w:gridCol w:w="2203"/>
        <w:gridCol w:w="1303"/>
        <w:gridCol w:w="1303"/>
        <w:gridCol w:w="1184"/>
        <w:gridCol w:w="1184"/>
        <w:gridCol w:w="1064"/>
        <w:gridCol w:w="1019"/>
        <w:gridCol w:w="1019"/>
        <w:gridCol w:w="1019"/>
        <w:gridCol w:w="10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7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28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类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2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款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28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220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7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功能科目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44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合计</w:t>
            </w:r>
          </w:p>
        </w:tc>
        <w:tc>
          <w:tcPr>
            <w:tcW w:w="2487" w:type="dxa"/>
            <w:gridSpan w:val="2"/>
            <w:vAlign w:val="top"/>
          </w:tcPr>
          <w:p>
            <w:pPr>
              <w:pStyle w:val="6"/>
              <w:spacing w:before="120" w:line="228" w:lineRule="auto"/>
              <w:ind w:left="66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本级财政拨款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5" w:line="231" w:lineRule="auto"/>
              <w:ind w:left="109" w:right="90" w:hanging="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财政专户管</w:t>
            </w:r>
            <w:r>
              <w:rPr>
                <w:spacing w:val="3"/>
                <w:sz w:val="19"/>
                <w:szCs w:val="19"/>
              </w:rPr>
              <w:t>理事业收入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5" w:line="231" w:lineRule="auto"/>
              <w:ind w:left="54" w:right="29" w:hanging="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事业单位经</w:t>
            </w:r>
            <w:r>
              <w:rPr>
                <w:spacing w:val="3"/>
                <w:sz w:val="19"/>
                <w:szCs w:val="19"/>
              </w:rPr>
              <w:t>营服务收入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6" w:line="234" w:lineRule="auto"/>
              <w:ind w:left="407" w:right="13" w:hanging="38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上级补助收</w:t>
            </w:r>
            <w:r>
              <w:rPr>
                <w:spacing w:val="2"/>
                <w:sz w:val="19"/>
                <w:szCs w:val="19"/>
              </w:rPr>
              <w:t>入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1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其它收入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1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事业收入</w:t>
            </w:r>
          </w:p>
        </w:tc>
        <w:tc>
          <w:tcPr>
            <w:tcW w:w="102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12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上年结转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6"/>
              <w:spacing w:before="98" w:line="229" w:lineRule="auto"/>
              <w:ind w:left="45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金额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98" w:line="229" w:lineRule="auto"/>
              <w:jc w:val="right"/>
              <w:rPr>
                <w:sz w:val="19"/>
                <w:szCs w:val="19"/>
              </w:rPr>
            </w:pPr>
            <w:r>
              <w:rPr>
                <w:spacing w:val="-11"/>
                <w:sz w:val="19"/>
                <w:szCs w:val="19"/>
              </w:rPr>
              <w:t>其</w:t>
            </w:r>
            <w:r>
              <w:rPr>
                <w:spacing w:val="-10"/>
                <w:sz w:val="19"/>
                <w:szCs w:val="19"/>
              </w:rPr>
              <w:t>中:经费拨</w:t>
            </w:r>
            <w:r>
              <w:rPr>
                <w:spacing w:val="-9"/>
                <w:sz w:val="19"/>
                <w:szCs w:val="19"/>
              </w:rPr>
              <w:t>款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24" w:line="213" w:lineRule="auto"/>
              <w:ind w:left="2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24" w:line="213" w:lineRule="auto"/>
              <w:ind w:left="26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24" w:line="213" w:lineRule="auto"/>
              <w:ind w:left="26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24" w:line="213" w:lineRule="auto"/>
              <w:ind w:left="98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55" w:line="183" w:lineRule="auto"/>
              <w:ind w:left="6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56" w:line="182" w:lineRule="auto"/>
              <w:ind w:left="60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56" w:line="182" w:lineRule="auto"/>
              <w:ind w:left="5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56" w:line="182" w:lineRule="auto"/>
              <w:ind w:left="5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7" w:line="181" w:lineRule="auto"/>
              <w:ind w:left="4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56" w:line="182" w:lineRule="auto"/>
              <w:ind w:left="4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57" w:line="181" w:lineRule="auto"/>
              <w:ind w:left="4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56" w:line="182" w:lineRule="auto"/>
              <w:ind w:left="4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26" w:type="dxa"/>
            <w:vAlign w:val="top"/>
          </w:tcPr>
          <w:p>
            <w:pPr>
              <w:pStyle w:val="6"/>
              <w:spacing w:before="56" w:line="182" w:lineRule="auto"/>
              <w:ind w:left="4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46" w:line="230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合计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77" w:line="191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77" w:line="191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77" w:line="191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79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46" w:line="228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文化旅游体育与传媒支出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79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774.35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79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774.35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79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774.35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pStyle w:val="6"/>
              <w:spacing w:before="179" w:line="190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48" w:line="229" w:lineRule="auto"/>
              <w:ind w:left="23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文化和旅游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0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727.55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0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727.55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0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727.55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1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0" w:line="190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0" w:line="190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149" w:line="229" w:lineRule="auto"/>
              <w:ind w:left="44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行政运行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1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1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1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2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1" w:line="190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2" w:line="189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04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149" w:line="228" w:lineRule="auto"/>
              <w:ind w:left="46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图书馆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2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99.28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2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99.28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2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99.28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3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2" w:line="190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3" w:line="189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09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0" w:line="229" w:lineRule="auto"/>
              <w:ind w:left="44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群众文化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2" w:line="190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91.60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2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91.60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2" w:line="190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91.60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4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3" w:line="190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2" w:line="190" w:lineRule="auto"/>
              <w:ind w:left="27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12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32" w:line="234" w:lineRule="auto"/>
              <w:ind w:left="27" w:right="185" w:firstLine="4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文化和旅游市场管</w:t>
            </w:r>
            <w:r>
              <w:rPr>
                <w:sz w:val="19"/>
                <w:szCs w:val="19"/>
              </w:rPr>
              <w:t>理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3" w:line="190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12.60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3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12.60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3" w:line="190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12.60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5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4" w:line="190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3" w:line="190" w:lineRule="auto"/>
              <w:ind w:left="27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14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33" w:line="226" w:lineRule="auto"/>
              <w:ind w:left="26" w:right="185" w:firstLine="42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文化和旅游管理事</w:t>
            </w:r>
            <w:r>
              <w:rPr>
                <w:sz w:val="19"/>
                <w:szCs w:val="19"/>
              </w:rPr>
              <w:t>务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5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30.00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5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30.00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5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30.00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pStyle w:val="6"/>
              <w:spacing w:before="186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4" w:line="230" w:lineRule="auto"/>
              <w:ind w:left="23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文物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6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6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6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7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7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7" w:line="189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04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5" w:line="229" w:lineRule="auto"/>
              <w:ind w:left="44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文物保护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7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7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7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pStyle w:val="6"/>
              <w:spacing w:before="188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03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5" w:line="229" w:lineRule="auto"/>
              <w:ind w:left="23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体育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8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8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8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9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9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03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9" w:line="189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08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6" w:line="229" w:lineRule="auto"/>
              <w:ind w:left="44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群众体育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9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9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9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90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7" w:line="228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社会保障和就业支出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9" w:line="190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142.72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9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142.72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9" w:line="190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142.72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pStyle w:val="6"/>
              <w:spacing w:before="191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8" w:line="22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行政事业单位养老支出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90" w:line="190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139.77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90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139.77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0" w:line="190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139.77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92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92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91" w:line="190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9" w:line="229" w:lineRule="auto"/>
              <w:ind w:left="44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行政单位离退休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92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92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2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8" w:h="11906"/>
          <w:pgMar w:top="1011" w:right="1125" w:bottom="0" w:left="1072" w:header="0" w:footer="0" w:gutter="0"/>
          <w:cols w:equalWidth="0" w:num="1">
            <w:col w:w="14640"/>
          </w:cols>
        </w:sectPr>
      </w:pPr>
    </w:p>
    <w:p>
      <w:pPr>
        <w:spacing w:before="63" w:line="225" w:lineRule="auto"/>
        <w:ind w:left="531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2024年部门收入总体情况表</w:t>
      </w:r>
    </w:p>
    <w:p>
      <w:pPr>
        <w:spacing w:before="13"/>
      </w:pPr>
    </w:p>
    <w:p>
      <w:pPr>
        <w:sectPr>
          <w:pgSz w:w="16838" w:h="11906"/>
          <w:pgMar w:top="1011" w:right="1125" w:bottom="0" w:left="1072" w:header="0" w:footer="0" w:gutter="0"/>
          <w:cols w:equalWidth="0" w:num="1">
            <w:col w:w="14640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125" w:bottom="0" w:left="1072" w:header="0" w:footer="0" w:gutter="0"/>
          <w:cols w:equalWidth="0" w:num="2">
            <w:col w:w="13537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6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764"/>
        <w:gridCol w:w="764"/>
        <w:gridCol w:w="2203"/>
        <w:gridCol w:w="1303"/>
        <w:gridCol w:w="1303"/>
        <w:gridCol w:w="1184"/>
        <w:gridCol w:w="1184"/>
        <w:gridCol w:w="1064"/>
        <w:gridCol w:w="1019"/>
        <w:gridCol w:w="1019"/>
        <w:gridCol w:w="1019"/>
        <w:gridCol w:w="10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7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28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类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2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款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28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220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7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功能科目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44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合计</w:t>
            </w:r>
          </w:p>
        </w:tc>
        <w:tc>
          <w:tcPr>
            <w:tcW w:w="2487" w:type="dxa"/>
            <w:gridSpan w:val="2"/>
            <w:vAlign w:val="top"/>
          </w:tcPr>
          <w:p>
            <w:pPr>
              <w:pStyle w:val="6"/>
              <w:spacing w:before="120" w:line="228" w:lineRule="auto"/>
              <w:ind w:left="66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本级财政拨款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5" w:line="231" w:lineRule="auto"/>
              <w:ind w:left="109" w:right="90" w:hanging="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财政专户管</w:t>
            </w:r>
            <w:r>
              <w:rPr>
                <w:spacing w:val="3"/>
                <w:sz w:val="19"/>
                <w:szCs w:val="19"/>
              </w:rPr>
              <w:t>理事业收入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5" w:line="231" w:lineRule="auto"/>
              <w:ind w:left="54" w:right="29" w:hanging="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事业单位经</w:t>
            </w:r>
            <w:r>
              <w:rPr>
                <w:spacing w:val="3"/>
                <w:sz w:val="19"/>
                <w:szCs w:val="19"/>
              </w:rPr>
              <w:t>营服务收入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6" w:line="234" w:lineRule="auto"/>
              <w:ind w:left="407" w:right="13" w:hanging="38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上级补助收</w:t>
            </w:r>
            <w:r>
              <w:rPr>
                <w:spacing w:val="2"/>
                <w:sz w:val="19"/>
                <w:szCs w:val="19"/>
              </w:rPr>
              <w:t>入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1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其它收入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1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事业收入</w:t>
            </w:r>
          </w:p>
        </w:tc>
        <w:tc>
          <w:tcPr>
            <w:tcW w:w="102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12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上年结转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6"/>
              <w:spacing w:before="98" w:line="229" w:lineRule="auto"/>
              <w:ind w:left="45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金额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98" w:line="229" w:lineRule="auto"/>
              <w:jc w:val="right"/>
              <w:rPr>
                <w:sz w:val="19"/>
                <w:szCs w:val="19"/>
              </w:rPr>
            </w:pPr>
            <w:r>
              <w:rPr>
                <w:spacing w:val="-11"/>
                <w:sz w:val="19"/>
                <w:szCs w:val="19"/>
              </w:rPr>
              <w:t>其</w:t>
            </w:r>
            <w:r>
              <w:rPr>
                <w:spacing w:val="-10"/>
                <w:sz w:val="19"/>
                <w:szCs w:val="19"/>
              </w:rPr>
              <w:t>中:经费拨</w:t>
            </w:r>
            <w:r>
              <w:rPr>
                <w:spacing w:val="-9"/>
                <w:sz w:val="19"/>
                <w:szCs w:val="19"/>
              </w:rPr>
              <w:t>款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24" w:line="213" w:lineRule="auto"/>
              <w:ind w:left="2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24" w:line="213" w:lineRule="auto"/>
              <w:ind w:left="26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24" w:line="213" w:lineRule="auto"/>
              <w:ind w:left="26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24" w:line="213" w:lineRule="auto"/>
              <w:ind w:left="98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55" w:line="183" w:lineRule="auto"/>
              <w:ind w:left="6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56" w:line="182" w:lineRule="auto"/>
              <w:ind w:left="60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56" w:line="182" w:lineRule="auto"/>
              <w:ind w:left="5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56" w:line="182" w:lineRule="auto"/>
              <w:ind w:left="5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7" w:line="181" w:lineRule="auto"/>
              <w:ind w:left="4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56" w:line="182" w:lineRule="auto"/>
              <w:ind w:left="4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57" w:line="181" w:lineRule="auto"/>
              <w:ind w:left="4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56" w:line="182" w:lineRule="auto"/>
              <w:ind w:left="4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26" w:type="dxa"/>
            <w:vAlign w:val="top"/>
          </w:tcPr>
          <w:p>
            <w:pPr>
              <w:pStyle w:val="6"/>
              <w:spacing w:before="56" w:line="182" w:lineRule="auto"/>
              <w:ind w:left="4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78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78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78" w:line="189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25" w:line="231" w:lineRule="auto"/>
              <w:ind w:left="26" w:right="185" w:firstLine="41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机关事业单位基本养老保险缴费支出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78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42.63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78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42.63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78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42.63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79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79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79" w:line="189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06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26" w:line="231" w:lineRule="auto"/>
              <w:ind w:left="26" w:right="185" w:firstLine="41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机关事业单位职业年金缴费支出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79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26.58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79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26.58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79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26.58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pStyle w:val="6"/>
              <w:spacing w:before="180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27" w:line="229" w:lineRule="auto"/>
              <w:ind w:left="42" w:right="5" w:firstLine="19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其他社会保障和就业支</w:t>
            </w:r>
            <w:r>
              <w:rPr>
                <w:sz w:val="19"/>
                <w:szCs w:val="19"/>
              </w:rPr>
              <w:t>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0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0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0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1" w:line="189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1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1" w:line="189" w:lineRule="auto"/>
              <w:ind w:left="2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29" w:line="231" w:lineRule="auto"/>
              <w:ind w:left="24" w:right="185" w:firstLine="42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其他社会保障和就业支出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1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1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1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1" w:line="190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49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卫生健康支出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2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2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2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pStyle w:val="6"/>
              <w:spacing w:before="181" w:line="190" w:lineRule="auto"/>
              <w:ind w:left="27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1" w:line="229" w:lineRule="auto"/>
              <w:ind w:left="23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行政事业单位医疗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3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3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3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3" w:line="190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2" w:line="190" w:lineRule="auto"/>
              <w:ind w:left="27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3" w:line="190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2" w:line="229" w:lineRule="auto"/>
              <w:ind w:left="44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行政单位医疗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3" w:line="190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13.63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3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13.63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3" w:line="190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13.63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4" w:line="190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3" w:line="190" w:lineRule="auto"/>
              <w:ind w:left="27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5" w:line="189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03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2" w:line="229" w:lineRule="auto"/>
              <w:ind w:left="45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公务员医疗补助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4" w:line="190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10.96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4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10.96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4" w:line="190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10.96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5" w:line="190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4" w:line="190" w:lineRule="auto"/>
              <w:ind w:left="27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6" w:line="189" w:lineRule="auto"/>
              <w:ind w:left="2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34" w:line="231" w:lineRule="auto"/>
              <w:ind w:left="34" w:right="185" w:firstLine="41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其他行政事业单位</w:t>
            </w:r>
            <w:r>
              <w:rPr>
                <w:spacing w:val="1"/>
                <w:sz w:val="19"/>
                <w:szCs w:val="19"/>
              </w:rPr>
              <w:t>医疗支出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5" w:line="190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12.05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5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12.05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5" w:line="190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12.05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5" w:line="190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221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4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住房保障支出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7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7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7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pStyle w:val="6"/>
              <w:spacing w:before="188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5" w:line="229" w:lineRule="auto"/>
              <w:ind w:left="23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住房改革支出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8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8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8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87" w:line="190" w:lineRule="auto"/>
              <w:ind w:left="2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221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9" w:line="189" w:lineRule="auto"/>
              <w:ind w:left="2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764" w:type="dxa"/>
            <w:vAlign w:val="top"/>
          </w:tcPr>
          <w:p>
            <w:pPr>
              <w:pStyle w:val="6"/>
              <w:spacing w:before="188" w:line="190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2203" w:type="dxa"/>
            <w:vAlign w:val="top"/>
          </w:tcPr>
          <w:p>
            <w:pPr>
              <w:pStyle w:val="6"/>
              <w:spacing w:before="157" w:line="229" w:lineRule="auto"/>
              <w:ind w:left="44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住房公积金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9" w:line="189" w:lineRule="auto"/>
              <w:ind w:right="2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89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89" w:line="189" w:lineRule="auto"/>
              <w:ind w:right="2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8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注：本表反映部门本年度取得的各项收入情况。本表金额转换为万元时，因四舍五入</w:t>
      </w:r>
      <w:r>
        <w:rPr>
          <w:rFonts w:ascii="宋体" w:hAnsi="宋体" w:eastAsia="宋体" w:cs="宋体"/>
          <w:spacing w:val="-1"/>
          <w:sz w:val="18"/>
          <w:szCs w:val="18"/>
        </w:rPr>
        <w:t>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1011" w:right="1125" w:bottom="0" w:left="1072" w:header="0" w:footer="0" w:gutter="0"/>
          <w:cols w:equalWidth="0" w:num="1">
            <w:col w:w="14640"/>
          </w:cols>
        </w:sectPr>
      </w:pPr>
    </w:p>
    <w:p>
      <w:pPr>
        <w:spacing w:before="63" w:line="225" w:lineRule="auto"/>
        <w:ind w:left="528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2024年部门支出总体情况表</w:t>
      </w:r>
    </w:p>
    <w:p>
      <w:pPr>
        <w:spacing w:before="13"/>
      </w:pPr>
    </w:p>
    <w:p>
      <w:pPr>
        <w:sectPr>
          <w:pgSz w:w="16838" w:h="11906"/>
          <w:pgMar w:top="1011" w:right="1200" w:bottom="0" w:left="1072" w:header="0" w:footer="0" w:gutter="0"/>
          <w:cols w:equalWidth="0" w:num="1">
            <w:col w:w="14565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200" w:bottom="0" w:left="1072" w:header="0" w:footer="0" w:gutter="0"/>
          <w:cols w:equalWidth="0" w:num="2">
            <w:col w:w="13462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944"/>
        <w:gridCol w:w="944"/>
        <w:gridCol w:w="3342"/>
        <w:gridCol w:w="1573"/>
        <w:gridCol w:w="1423"/>
        <w:gridCol w:w="1423"/>
        <w:gridCol w:w="1319"/>
        <w:gridCol w:w="1319"/>
        <w:gridCol w:w="1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839" w:type="dxa"/>
            <w:gridSpan w:val="3"/>
            <w:vAlign w:val="top"/>
          </w:tcPr>
          <w:p>
            <w:pPr>
              <w:pStyle w:val="6"/>
              <w:spacing w:before="105" w:line="228" w:lineRule="auto"/>
              <w:ind w:left="102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科目编码</w:t>
            </w:r>
          </w:p>
        </w:tc>
        <w:tc>
          <w:tcPr>
            <w:tcW w:w="334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127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功能科目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48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总计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3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基本支出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2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项目支出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6" w:line="231" w:lineRule="auto"/>
              <w:ind w:left="470" w:right="57" w:hanging="39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事业单位经营</w:t>
            </w:r>
            <w:r>
              <w:rPr>
                <w:spacing w:val="2"/>
                <w:sz w:val="19"/>
                <w:szCs w:val="19"/>
              </w:rPr>
              <w:t>支出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6" w:line="231" w:lineRule="auto"/>
              <w:ind w:left="365" w:right="56" w:hanging="28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对附属单位补</w:t>
            </w:r>
            <w:r>
              <w:rPr>
                <w:spacing w:val="3"/>
                <w:sz w:val="19"/>
                <w:szCs w:val="19"/>
              </w:rPr>
              <w:t>助支出</w:t>
            </w:r>
          </w:p>
        </w:tc>
        <w:tc>
          <w:tcPr>
            <w:tcW w:w="1311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6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上缴上级支出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13" w:line="229" w:lineRule="auto"/>
              <w:ind w:left="37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类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14" w:line="230" w:lineRule="auto"/>
              <w:ind w:left="3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款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14" w:line="229" w:lineRule="auto"/>
              <w:ind w:left="37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33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25" w:line="227" w:lineRule="auto"/>
              <w:ind w:left="35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25" w:line="227" w:lineRule="auto"/>
              <w:ind w:left="35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25" w:line="227" w:lineRule="auto"/>
              <w:ind w:left="35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5" w:line="227" w:lineRule="auto"/>
              <w:ind w:left="155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55" w:line="190" w:lineRule="auto"/>
              <w:ind w:left="7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56" w:line="189" w:lineRule="auto"/>
              <w:ind w:left="66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57" w:line="189" w:lineRule="auto"/>
              <w:ind w:left="6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319" w:type="dxa"/>
            <w:vAlign w:val="top"/>
          </w:tcPr>
          <w:p>
            <w:pPr>
              <w:pStyle w:val="6"/>
              <w:spacing w:before="56" w:line="189" w:lineRule="auto"/>
              <w:ind w:left="60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319" w:type="dxa"/>
            <w:vAlign w:val="top"/>
          </w:tcPr>
          <w:p>
            <w:pPr>
              <w:pStyle w:val="6"/>
              <w:spacing w:before="58" w:line="188" w:lineRule="auto"/>
              <w:ind w:left="6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311" w:type="dxa"/>
            <w:vAlign w:val="top"/>
          </w:tcPr>
          <w:p>
            <w:pPr>
              <w:pStyle w:val="6"/>
              <w:spacing w:before="57" w:line="189" w:lineRule="auto"/>
              <w:ind w:left="6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6" w:line="230" w:lineRule="auto"/>
              <w:ind w:left="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合计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77" w:line="191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78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722.89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7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280.28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79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6" w:line="228" w:lineRule="auto"/>
              <w:ind w:left="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文化旅游体育与传媒支出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79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774.35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79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79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280.28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6"/>
              <w:spacing w:before="179" w:line="190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8" w:line="229" w:lineRule="auto"/>
              <w:ind w:left="23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文化和旅游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0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727.55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0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0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233.48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1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0" w:line="190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0" w:line="190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9" w:line="229" w:lineRule="auto"/>
              <w:ind w:left="44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行政运行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1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1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2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1" w:line="190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2" w:line="189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04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9" w:line="228" w:lineRule="auto"/>
              <w:ind w:left="465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图书馆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2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99.28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2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99.28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3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2" w:line="190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3" w:line="189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09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0" w:line="229" w:lineRule="auto"/>
              <w:ind w:left="44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群众文化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2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91.60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2" w:line="190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91.60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4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3" w:line="190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2" w:line="190" w:lineRule="auto"/>
              <w:ind w:left="370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12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1" w:line="229" w:lineRule="auto"/>
              <w:ind w:left="44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文化和旅游市场管理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3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12.60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3" w:line="190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12.60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5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4" w:line="190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3" w:line="190" w:lineRule="auto"/>
              <w:ind w:left="370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14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2" w:line="229" w:lineRule="auto"/>
              <w:ind w:left="44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文化和旅游管理事务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5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30.00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5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30.00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6"/>
              <w:spacing w:before="186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4" w:line="230" w:lineRule="auto"/>
              <w:ind w:left="23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文物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6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6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7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7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7" w:line="189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04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5" w:line="229" w:lineRule="auto"/>
              <w:ind w:left="44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文物保护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7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7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6"/>
              <w:spacing w:before="188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03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5" w:line="229" w:lineRule="auto"/>
              <w:ind w:left="23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体育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8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9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9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03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9" w:line="189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08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6" w:line="229" w:lineRule="auto"/>
              <w:ind w:left="44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群众体育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9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9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90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7" w:line="228" w:lineRule="auto"/>
              <w:ind w:left="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社会保障和就业支出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9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142.72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9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142.72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6"/>
              <w:spacing w:before="191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8" w:line="229" w:lineRule="auto"/>
              <w:ind w:left="23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行政事业单位养老支出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90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139.77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90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139.77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92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92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91" w:line="190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9" w:line="229" w:lineRule="auto"/>
              <w:ind w:left="44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行政单位离退休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92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92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8" w:h="11906"/>
          <w:pgMar w:top="1011" w:right="1200" w:bottom="0" w:left="1072" w:header="0" w:footer="0" w:gutter="0"/>
          <w:cols w:equalWidth="0" w:num="1">
            <w:col w:w="14565"/>
          </w:cols>
        </w:sectPr>
      </w:pPr>
    </w:p>
    <w:p>
      <w:pPr>
        <w:spacing w:before="63" w:line="225" w:lineRule="auto"/>
        <w:ind w:left="528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2024年部门支出总体情况表</w:t>
      </w:r>
    </w:p>
    <w:p>
      <w:pPr>
        <w:spacing w:before="13"/>
      </w:pPr>
    </w:p>
    <w:p>
      <w:pPr>
        <w:sectPr>
          <w:pgSz w:w="16838" w:h="11906"/>
          <w:pgMar w:top="1011" w:right="1200" w:bottom="0" w:left="1072" w:header="0" w:footer="0" w:gutter="0"/>
          <w:cols w:equalWidth="0" w:num="1">
            <w:col w:w="14565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200" w:bottom="0" w:left="1072" w:header="0" w:footer="0" w:gutter="0"/>
          <w:cols w:equalWidth="0" w:num="2">
            <w:col w:w="13462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944"/>
        <w:gridCol w:w="944"/>
        <w:gridCol w:w="3342"/>
        <w:gridCol w:w="1573"/>
        <w:gridCol w:w="1423"/>
        <w:gridCol w:w="1423"/>
        <w:gridCol w:w="1319"/>
        <w:gridCol w:w="1319"/>
        <w:gridCol w:w="1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839" w:type="dxa"/>
            <w:gridSpan w:val="3"/>
            <w:vAlign w:val="top"/>
          </w:tcPr>
          <w:p>
            <w:pPr>
              <w:pStyle w:val="6"/>
              <w:spacing w:before="105" w:line="228" w:lineRule="auto"/>
              <w:ind w:left="102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科目编码</w:t>
            </w:r>
          </w:p>
        </w:tc>
        <w:tc>
          <w:tcPr>
            <w:tcW w:w="334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127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功能科目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48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总计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3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基本支出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2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项目支出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6" w:line="231" w:lineRule="auto"/>
              <w:ind w:left="470" w:right="57" w:hanging="39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事业单位经营</w:t>
            </w:r>
            <w:r>
              <w:rPr>
                <w:spacing w:val="2"/>
                <w:sz w:val="19"/>
                <w:szCs w:val="19"/>
              </w:rPr>
              <w:t>支出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6" w:line="231" w:lineRule="auto"/>
              <w:ind w:left="365" w:right="56" w:hanging="28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对附属单位补</w:t>
            </w:r>
            <w:r>
              <w:rPr>
                <w:spacing w:val="3"/>
                <w:sz w:val="19"/>
                <w:szCs w:val="19"/>
              </w:rPr>
              <w:t>助支出</w:t>
            </w:r>
          </w:p>
        </w:tc>
        <w:tc>
          <w:tcPr>
            <w:tcW w:w="1311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6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上缴上级支出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13" w:line="229" w:lineRule="auto"/>
              <w:ind w:left="37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类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14" w:line="230" w:lineRule="auto"/>
              <w:ind w:left="3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款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14" w:line="229" w:lineRule="auto"/>
              <w:ind w:left="37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33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25" w:line="227" w:lineRule="auto"/>
              <w:ind w:left="35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25" w:line="227" w:lineRule="auto"/>
              <w:ind w:left="35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25" w:line="227" w:lineRule="auto"/>
              <w:ind w:left="35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5" w:line="227" w:lineRule="auto"/>
              <w:ind w:left="155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55" w:line="190" w:lineRule="auto"/>
              <w:ind w:left="7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56" w:line="189" w:lineRule="auto"/>
              <w:ind w:left="66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57" w:line="189" w:lineRule="auto"/>
              <w:ind w:left="6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319" w:type="dxa"/>
            <w:vAlign w:val="top"/>
          </w:tcPr>
          <w:p>
            <w:pPr>
              <w:pStyle w:val="6"/>
              <w:spacing w:before="56" w:line="189" w:lineRule="auto"/>
              <w:ind w:left="60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319" w:type="dxa"/>
            <w:vAlign w:val="top"/>
          </w:tcPr>
          <w:p>
            <w:pPr>
              <w:pStyle w:val="6"/>
              <w:spacing w:before="58" w:line="188" w:lineRule="auto"/>
              <w:ind w:left="6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311" w:type="dxa"/>
            <w:vAlign w:val="top"/>
          </w:tcPr>
          <w:p>
            <w:pPr>
              <w:pStyle w:val="6"/>
              <w:spacing w:before="57" w:line="189" w:lineRule="auto"/>
              <w:ind w:left="6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78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78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78" w:line="189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6" w:line="231" w:lineRule="auto"/>
              <w:ind w:left="27" w:right="153" w:firstLine="41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机关事业单位基本养老保险缴费</w:t>
            </w:r>
            <w:r>
              <w:rPr>
                <w:spacing w:val="2"/>
                <w:sz w:val="19"/>
                <w:szCs w:val="19"/>
              </w:rPr>
              <w:t>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78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42.63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78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42.63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79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79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79" w:line="189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06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6" w:line="228" w:lineRule="auto"/>
              <w:ind w:left="44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机关事业单位职业年金缴费支出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79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26.58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79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26.58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6"/>
              <w:spacing w:before="180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7" w:line="228" w:lineRule="auto"/>
              <w:ind w:left="23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其他社会保障和就业支出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0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0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1" w:line="189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1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1" w:line="189" w:lineRule="auto"/>
              <w:ind w:left="3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8" w:line="228" w:lineRule="auto"/>
              <w:ind w:left="44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其他社会保障和就业支出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1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1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1" w:line="190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9" w:line="229" w:lineRule="auto"/>
              <w:ind w:left="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卫生健康支出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2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2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6"/>
              <w:spacing w:before="181" w:line="190" w:lineRule="auto"/>
              <w:ind w:left="36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1" w:line="229" w:lineRule="auto"/>
              <w:ind w:left="23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行政事业单位医疗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3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3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3" w:line="190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2" w:line="190" w:lineRule="auto"/>
              <w:ind w:left="36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3" w:line="190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2" w:line="229" w:lineRule="auto"/>
              <w:ind w:left="44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行政单位医疗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3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13.63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3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13.63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4" w:line="190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3" w:line="190" w:lineRule="auto"/>
              <w:ind w:left="36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5" w:line="189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03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2" w:line="229" w:lineRule="auto"/>
              <w:ind w:left="4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公务员医疗补助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4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10.96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4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10.96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5" w:line="190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4" w:line="190" w:lineRule="auto"/>
              <w:ind w:left="36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6" w:line="189" w:lineRule="auto"/>
              <w:ind w:left="3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4" w:line="229" w:lineRule="auto"/>
              <w:ind w:left="44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其他行政事业单位医疗支出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5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12.05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5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12.05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5" w:line="190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221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4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住房保障支出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7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7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6"/>
              <w:spacing w:before="188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5" w:line="229" w:lineRule="auto"/>
              <w:ind w:left="23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住房改革支出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8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8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87" w:line="190" w:lineRule="auto"/>
              <w:ind w:left="3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221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9" w:line="189" w:lineRule="auto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spacing w:before="188" w:line="190" w:lineRule="auto"/>
              <w:ind w:left="35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57" w:line="229" w:lineRule="auto"/>
              <w:ind w:left="44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住房公积金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before="189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89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3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注：本表反映部门本年度各项支出情况。本表金额转换为万元时，因四舍五入</w:t>
      </w:r>
      <w:r>
        <w:rPr>
          <w:rFonts w:ascii="宋体" w:hAnsi="宋体" w:eastAsia="宋体" w:cs="宋体"/>
          <w:spacing w:val="-1"/>
          <w:sz w:val="18"/>
          <w:szCs w:val="18"/>
        </w:rPr>
        <w:t>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1011" w:right="1200" w:bottom="0" w:left="1072" w:header="0" w:footer="0" w:gutter="0"/>
          <w:cols w:equalWidth="0" w:num="1">
            <w:col w:w="14565"/>
          </w:cols>
        </w:sectPr>
      </w:pPr>
    </w:p>
    <w:p>
      <w:pPr>
        <w:spacing w:before="63" w:line="225" w:lineRule="auto"/>
        <w:ind w:left="500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2024年财政拨款收支总体情况表</w:t>
      </w:r>
    </w:p>
    <w:p>
      <w:pPr>
        <w:spacing w:before="219" w:line="229" w:lineRule="auto"/>
        <w:ind w:left="47"/>
        <w:rPr>
          <w:rFonts w:ascii="宋体" w:hAnsi="宋体" w:eastAsia="宋体" w:cs="宋体"/>
          <w:sz w:val="19"/>
          <w:szCs w:val="19"/>
        </w:rPr>
      </w:pPr>
      <w:r>
        <w:pict>
          <v:shape id="_x0000_s1026" o:spid="_x0000_s1026" o:spt="202" type="#_x0000_t202" style="position:absolute;left:0pt;margin-left:682.3pt;margin-top:13.7pt;height:13.8pt;width:50.5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19"/>
                      <w:szCs w:val="19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spacing w:line="48" w:lineRule="exact"/>
      </w:pPr>
    </w:p>
    <w:tbl>
      <w:tblPr>
        <w:tblStyle w:val="5"/>
        <w:tblW w:w="1465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4"/>
        <w:gridCol w:w="1708"/>
        <w:gridCol w:w="3387"/>
        <w:gridCol w:w="1708"/>
        <w:gridCol w:w="1483"/>
        <w:gridCol w:w="1483"/>
        <w:gridCol w:w="1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102" w:type="dxa"/>
            <w:gridSpan w:val="2"/>
            <w:vAlign w:val="top"/>
          </w:tcPr>
          <w:p>
            <w:pPr>
              <w:pStyle w:val="6"/>
              <w:spacing w:before="150" w:line="229" w:lineRule="auto"/>
              <w:ind w:left="141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收入</w:t>
            </w:r>
          </w:p>
        </w:tc>
        <w:tc>
          <w:tcPr>
            <w:tcW w:w="9552" w:type="dxa"/>
            <w:gridSpan w:val="5"/>
            <w:vAlign w:val="top"/>
          </w:tcPr>
          <w:p>
            <w:pPr>
              <w:pStyle w:val="6"/>
              <w:spacing w:before="151" w:line="229" w:lineRule="auto"/>
              <w:ind w:left="36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394" w:type="dxa"/>
            <w:vAlign w:val="top"/>
          </w:tcPr>
          <w:p>
            <w:pPr>
              <w:pStyle w:val="6"/>
              <w:spacing w:before="99" w:line="229" w:lineRule="auto"/>
              <w:ind w:left="150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项目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98" w:line="229" w:lineRule="auto"/>
              <w:ind w:left="5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</w:t>
            </w:r>
          </w:p>
        </w:tc>
        <w:tc>
          <w:tcPr>
            <w:tcW w:w="3387" w:type="dxa"/>
            <w:vAlign w:val="top"/>
          </w:tcPr>
          <w:p>
            <w:pPr>
              <w:pStyle w:val="6"/>
              <w:spacing w:before="99" w:line="229" w:lineRule="auto"/>
              <w:ind w:left="150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项目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99" w:line="230" w:lineRule="auto"/>
              <w:ind w:left="66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合计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98" w:line="229" w:lineRule="auto"/>
              <w:ind w:left="1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一般公共预算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98" w:line="228" w:lineRule="auto"/>
              <w:ind w:left="6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政府性基金预算</w:t>
            </w:r>
          </w:p>
        </w:tc>
        <w:tc>
          <w:tcPr>
            <w:tcW w:w="1491" w:type="dxa"/>
            <w:vAlign w:val="top"/>
          </w:tcPr>
          <w:p>
            <w:pPr>
              <w:pStyle w:val="6"/>
              <w:spacing w:before="98" w:line="228" w:lineRule="auto"/>
              <w:jc w:val="right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国有资本经营预算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pStyle w:val="6"/>
              <w:spacing w:before="83" w:line="223" w:lineRule="auto"/>
              <w:ind w:left="3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一、本年收入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01" w:line="191" w:lineRule="auto"/>
              <w:ind w:left="85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3387" w:type="dxa"/>
            <w:vAlign w:val="top"/>
          </w:tcPr>
          <w:p>
            <w:pPr>
              <w:pStyle w:val="6"/>
              <w:spacing w:before="83" w:line="223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一、本年支出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01" w:line="191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01" w:line="191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pStyle w:val="6"/>
              <w:spacing w:before="83" w:line="224" w:lineRule="auto"/>
              <w:ind w:left="4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1、一般公共预算拨款收入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02" w:line="191" w:lineRule="auto"/>
              <w:ind w:left="85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3387" w:type="dxa"/>
            <w:vAlign w:val="top"/>
          </w:tcPr>
          <w:p>
            <w:pPr>
              <w:pStyle w:val="6"/>
              <w:spacing w:before="83" w:line="224" w:lineRule="auto"/>
              <w:ind w:left="4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1、一般公共服务支出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pStyle w:val="6"/>
              <w:spacing w:before="85" w:line="223" w:lineRule="auto"/>
              <w:ind w:left="3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2、政府性基金预算拨款收入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84" w:line="225" w:lineRule="auto"/>
              <w:ind w:left="3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2、外交支出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pStyle w:val="6"/>
              <w:spacing w:before="86" w:line="223" w:lineRule="auto"/>
              <w:ind w:left="3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3、国有资本经营预算拨款收入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85" w:line="224" w:lineRule="auto"/>
              <w:ind w:left="3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3、公共安全支出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86" w:line="224" w:lineRule="auto"/>
              <w:ind w:left="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4、教育支出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88" w:line="223" w:lineRule="auto"/>
              <w:ind w:left="3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5、科学技术支出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89" w:line="223" w:lineRule="auto"/>
              <w:ind w:left="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6、文化旅游体育与传媒支出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08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774.35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0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774.35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0" w:line="223" w:lineRule="auto"/>
              <w:ind w:left="3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7、社会保障和就业支出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08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142.72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08" w:line="190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142.72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1" w:line="223" w:lineRule="auto"/>
              <w:ind w:left="2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8、社会保险基金支出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1" w:line="224" w:lineRule="auto"/>
              <w:ind w:left="2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9、卫生健康支出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11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11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2" w:line="225" w:lineRule="auto"/>
              <w:ind w:left="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10、节能环保支出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3" w:line="224" w:lineRule="auto"/>
              <w:ind w:left="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11、城乡社区支出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4" w:line="224" w:lineRule="auto"/>
              <w:ind w:left="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12、农林水支出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5" w:line="224" w:lineRule="auto"/>
              <w:ind w:left="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13、交通运输支出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5" w:line="224" w:lineRule="auto"/>
              <w:ind w:left="4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14、资源勘探工业信息等支出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5" w:line="224" w:lineRule="auto"/>
              <w:ind w:left="4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15、商业服务业等支出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5" w:line="225" w:lineRule="auto"/>
              <w:ind w:left="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16、金融支出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5" w:line="225" w:lineRule="auto"/>
              <w:ind w:left="4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17、援助其他地区支出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5" w:line="224" w:lineRule="auto"/>
              <w:ind w:left="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18、自然资源海洋气象等支出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5" w:line="224" w:lineRule="auto"/>
              <w:ind w:left="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19、住房保障支出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15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15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6" w:line="223" w:lineRule="auto"/>
              <w:ind w:left="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20、粮油物资储备支出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6" w:line="224" w:lineRule="auto"/>
              <w:ind w:left="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21、灾害防治及应急管理支出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8" w:h="11906"/>
          <w:pgMar w:top="951" w:right="1095" w:bottom="0" w:left="1072" w:header="0" w:footer="0" w:gutter="0"/>
          <w:cols w:space="720" w:num="1"/>
        </w:sectPr>
      </w:pPr>
    </w:p>
    <w:p>
      <w:pPr>
        <w:spacing w:before="63" w:line="225" w:lineRule="auto"/>
        <w:ind w:left="500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2024年财政拨款收支总体情况表</w:t>
      </w:r>
    </w:p>
    <w:p>
      <w:pPr>
        <w:spacing w:before="219" w:line="229" w:lineRule="auto"/>
        <w:ind w:left="47"/>
        <w:rPr>
          <w:rFonts w:ascii="宋体" w:hAnsi="宋体" w:eastAsia="宋体" w:cs="宋体"/>
          <w:sz w:val="19"/>
          <w:szCs w:val="19"/>
        </w:rPr>
      </w:pPr>
      <w:r>
        <w:pict>
          <v:shape id="_x0000_s1027" o:spid="_x0000_s1027" o:spt="202" type="#_x0000_t202" style="position:absolute;left:0pt;margin-left:682.3pt;margin-top:13.7pt;height:13.8pt;width:50.5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19"/>
                      <w:szCs w:val="19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spacing w:line="48" w:lineRule="exact"/>
      </w:pPr>
    </w:p>
    <w:tbl>
      <w:tblPr>
        <w:tblStyle w:val="5"/>
        <w:tblW w:w="1465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4"/>
        <w:gridCol w:w="1708"/>
        <w:gridCol w:w="3387"/>
        <w:gridCol w:w="1708"/>
        <w:gridCol w:w="1483"/>
        <w:gridCol w:w="1483"/>
        <w:gridCol w:w="1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102" w:type="dxa"/>
            <w:gridSpan w:val="2"/>
            <w:vAlign w:val="top"/>
          </w:tcPr>
          <w:p>
            <w:pPr>
              <w:pStyle w:val="6"/>
              <w:spacing w:before="150" w:line="229" w:lineRule="auto"/>
              <w:ind w:left="141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收入</w:t>
            </w:r>
          </w:p>
        </w:tc>
        <w:tc>
          <w:tcPr>
            <w:tcW w:w="9552" w:type="dxa"/>
            <w:gridSpan w:val="5"/>
            <w:vAlign w:val="top"/>
          </w:tcPr>
          <w:p>
            <w:pPr>
              <w:pStyle w:val="6"/>
              <w:spacing w:before="151" w:line="229" w:lineRule="auto"/>
              <w:ind w:left="36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394" w:type="dxa"/>
            <w:vAlign w:val="top"/>
          </w:tcPr>
          <w:p>
            <w:pPr>
              <w:pStyle w:val="6"/>
              <w:spacing w:before="102" w:line="229" w:lineRule="auto"/>
              <w:ind w:left="150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项目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01" w:line="229" w:lineRule="auto"/>
              <w:ind w:left="5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</w:t>
            </w:r>
          </w:p>
        </w:tc>
        <w:tc>
          <w:tcPr>
            <w:tcW w:w="3387" w:type="dxa"/>
            <w:vAlign w:val="top"/>
          </w:tcPr>
          <w:p>
            <w:pPr>
              <w:pStyle w:val="6"/>
              <w:spacing w:before="102" w:line="229" w:lineRule="auto"/>
              <w:ind w:left="150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项目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02" w:line="230" w:lineRule="auto"/>
              <w:ind w:left="66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合计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01" w:line="229" w:lineRule="auto"/>
              <w:ind w:left="1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一般公共预算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01" w:line="228" w:lineRule="auto"/>
              <w:ind w:left="6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政府性基金预算</w:t>
            </w:r>
          </w:p>
        </w:tc>
        <w:tc>
          <w:tcPr>
            <w:tcW w:w="1491" w:type="dxa"/>
            <w:vAlign w:val="top"/>
          </w:tcPr>
          <w:p>
            <w:pPr>
              <w:pStyle w:val="6"/>
              <w:spacing w:before="101" w:line="228" w:lineRule="auto"/>
              <w:jc w:val="right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国有资本经营预算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87" w:line="225" w:lineRule="auto"/>
              <w:ind w:left="3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22、其他支出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394" w:type="dxa"/>
            <w:vAlign w:val="top"/>
          </w:tcPr>
          <w:p>
            <w:pPr>
              <w:pStyle w:val="6"/>
              <w:spacing w:before="90" w:line="224" w:lineRule="auto"/>
              <w:ind w:left="3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二、上年结转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7" w:type="dxa"/>
            <w:vAlign w:val="top"/>
          </w:tcPr>
          <w:p>
            <w:pPr>
              <w:pStyle w:val="6"/>
              <w:spacing w:before="90" w:line="224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二、结转下年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394" w:type="dxa"/>
            <w:vAlign w:val="top"/>
          </w:tcPr>
          <w:p>
            <w:pPr>
              <w:pStyle w:val="6"/>
              <w:spacing w:before="93" w:line="224" w:lineRule="auto"/>
              <w:ind w:left="1173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收入总计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12" w:line="191" w:lineRule="auto"/>
              <w:ind w:left="85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3387" w:type="dxa"/>
            <w:vAlign w:val="top"/>
          </w:tcPr>
          <w:p>
            <w:pPr>
              <w:pStyle w:val="6"/>
              <w:spacing w:before="93" w:line="225" w:lineRule="auto"/>
              <w:ind w:left="1165"/>
              <w:rPr>
                <w:sz w:val="19"/>
                <w:szCs w:val="19"/>
              </w:rPr>
            </w:pPr>
            <w:r>
              <w:rPr>
                <w:spacing w:val="-8"/>
                <w:sz w:val="19"/>
                <w:szCs w:val="19"/>
              </w:rPr>
              <w:t>支出总计</w:t>
            </w:r>
          </w:p>
        </w:tc>
        <w:tc>
          <w:tcPr>
            <w:tcW w:w="1708" w:type="dxa"/>
            <w:vAlign w:val="top"/>
          </w:tcPr>
          <w:p>
            <w:pPr>
              <w:pStyle w:val="6"/>
              <w:spacing w:before="112" w:line="191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12" w:line="191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2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注：本表反映部门本年度一般公共预算、政府性基金预算、国有资本经营预算的财政拨款总收支和年末结转结余情况。本表金额转换为万元时，因四舍五入</w:t>
      </w:r>
      <w:r>
        <w:rPr>
          <w:rFonts w:ascii="宋体" w:hAnsi="宋体" w:eastAsia="宋体" w:cs="宋体"/>
          <w:spacing w:val="-1"/>
          <w:sz w:val="18"/>
          <w:szCs w:val="18"/>
        </w:rPr>
        <w:t>可能存在尾数误差。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6838" w:h="11906"/>
          <w:pgMar w:top="951" w:right="1095" w:bottom="0" w:left="1072" w:header="0" w:footer="0" w:gutter="0"/>
          <w:cols w:space="720" w:num="1"/>
        </w:sectPr>
      </w:pPr>
    </w:p>
    <w:p>
      <w:pPr>
        <w:spacing w:before="63" w:line="225" w:lineRule="auto"/>
        <w:ind w:left="497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2024年一般公共预算支出情况表</w:t>
      </w:r>
    </w:p>
    <w:p>
      <w:pPr>
        <w:spacing w:before="13"/>
      </w:pPr>
    </w:p>
    <w:p>
      <w:pPr>
        <w:sectPr>
          <w:pgSz w:w="16838" w:h="11906"/>
          <w:pgMar w:top="1011" w:right="1170" w:bottom="0" w:left="1072" w:header="0" w:footer="0" w:gutter="0"/>
          <w:cols w:equalWidth="0" w:num="1">
            <w:col w:w="14595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170" w:bottom="0" w:left="1072" w:header="0" w:footer="0" w:gutter="0"/>
          <w:cols w:equalWidth="0" w:num="2">
            <w:col w:w="13492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5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19"/>
        <w:gridCol w:w="1019"/>
        <w:gridCol w:w="4480"/>
        <w:gridCol w:w="2502"/>
        <w:gridCol w:w="2263"/>
        <w:gridCol w:w="2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065" w:type="dxa"/>
            <w:gridSpan w:val="3"/>
            <w:vAlign w:val="top"/>
          </w:tcPr>
          <w:p>
            <w:pPr>
              <w:pStyle w:val="6"/>
              <w:spacing w:before="105" w:line="228" w:lineRule="auto"/>
              <w:ind w:left="114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科目编码</w:t>
            </w:r>
          </w:p>
        </w:tc>
        <w:tc>
          <w:tcPr>
            <w:tcW w:w="448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19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功能科目</w:t>
            </w:r>
          </w:p>
        </w:tc>
        <w:tc>
          <w:tcPr>
            <w:tcW w:w="250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95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总计</w:t>
            </w:r>
          </w:p>
        </w:tc>
        <w:tc>
          <w:tcPr>
            <w:tcW w:w="226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73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基本支出</w:t>
            </w:r>
          </w:p>
        </w:tc>
        <w:tc>
          <w:tcPr>
            <w:tcW w:w="227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74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13" w:line="229" w:lineRule="auto"/>
              <w:ind w:left="40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类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14" w:line="230" w:lineRule="auto"/>
              <w:ind w:left="3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款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14" w:line="229" w:lineRule="auto"/>
              <w:ind w:left="4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4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25" w:line="227" w:lineRule="auto"/>
              <w:ind w:left="40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25" w:line="227" w:lineRule="auto"/>
              <w:ind w:left="39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25" w:line="227" w:lineRule="auto"/>
              <w:ind w:left="39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25" w:line="227" w:lineRule="auto"/>
              <w:ind w:left="21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55" w:line="190" w:lineRule="auto"/>
              <w:ind w:left="12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56" w:line="189" w:lineRule="auto"/>
              <w:ind w:left="10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70" w:type="dxa"/>
            <w:vAlign w:val="top"/>
          </w:tcPr>
          <w:p>
            <w:pPr>
              <w:pStyle w:val="6"/>
              <w:spacing w:before="57" w:line="189" w:lineRule="auto"/>
              <w:ind w:left="108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6" w:line="230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合计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77" w:line="191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1,003.17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7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722.89</w:t>
            </w:r>
          </w:p>
        </w:tc>
        <w:tc>
          <w:tcPr>
            <w:tcW w:w="2270" w:type="dxa"/>
            <w:vAlign w:val="top"/>
          </w:tcPr>
          <w:p>
            <w:pPr>
              <w:pStyle w:val="6"/>
              <w:spacing w:before="178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280.28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79" w:line="189" w:lineRule="auto"/>
              <w:ind w:left="34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6" w:line="228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社会保障和就业支出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78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142.72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78" w:line="190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142.72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0" w:line="189" w:lineRule="auto"/>
              <w:ind w:left="39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7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行政事业单位养老支出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79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139.77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79" w:line="190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139.77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1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1" w:line="189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0" w:line="190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8" w:line="229" w:lineRule="auto"/>
              <w:ind w:left="23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行政单位离退休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1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1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2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2" w:line="189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2" w:line="189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06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9" w:line="228" w:lineRule="auto"/>
              <w:ind w:left="23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机关事业单位职业年金缴费支出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2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26.58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2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26.58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3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3" w:line="189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3" w:line="189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05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0" w:line="228" w:lineRule="auto"/>
              <w:ind w:left="23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机关事业单位基本养老保险缴费支出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3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42.63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42.63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4" w:line="189" w:lineRule="auto"/>
              <w:ind w:left="3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1" w:line="228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其他社会保障和就业支出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4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4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5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5" w:line="189" w:lineRule="auto"/>
              <w:ind w:left="50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5" w:line="189" w:lineRule="auto"/>
              <w:ind w:left="40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2" w:line="228" w:lineRule="auto"/>
              <w:ind w:left="23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其他社会保障和就业支出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5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5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6" w:line="189" w:lineRule="auto"/>
              <w:ind w:left="34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3" w:line="228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文化旅游体育与传媒支出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6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774.35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6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2270" w:type="dxa"/>
            <w:vAlign w:val="top"/>
          </w:tcPr>
          <w:p>
            <w:pPr>
              <w:pStyle w:val="6"/>
              <w:spacing w:before="186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280.28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6" w:line="190" w:lineRule="auto"/>
              <w:ind w:left="39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5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文化和旅游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7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727.55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7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2270" w:type="dxa"/>
            <w:vAlign w:val="top"/>
          </w:tcPr>
          <w:p>
            <w:pPr>
              <w:pStyle w:val="6"/>
              <w:spacing w:before="187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233.48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8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7" w:line="190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7" w:line="190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6" w:line="229" w:lineRule="auto"/>
              <w:ind w:left="23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行政运行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8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494.07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9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8" w:line="190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9" w:line="189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04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6" w:line="228" w:lineRule="auto"/>
              <w:ind w:left="25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图书馆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9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99.28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6"/>
              <w:spacing w:before="189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99.28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90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9" w:line="190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0" w:line="189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09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7" w:line="229" w:lineRule="auto"/>
              <w:ind w:left="23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群众文化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9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91.60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6"/>
              <w:spacing w:before="189" w:line="190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91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0" w:line="190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9" w:line="190" w:lineRule="auto"/>
              <w:ind w:left="414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14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8" w:line="229" w:lineRule="auto"/>
              <w:ind w:left="23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文化和旅游管理事务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91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30.00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6"/>
              <w:spacing w:before="191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92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1" w:line="190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0" w:line="190" w:lineRule="auto"/>
              <w:ind w:left="414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12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9" w:line="229" w:lineRule="auto"/>
              <w:ind w:left="23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文化和旅游市场管理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91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12.60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6"/>
              <w:spacing w:before="191" w:line="190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12.60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8" w:h="11906"/>
          <w:pgMar w:top="1011" w:right="1170" w:bottom="0" w:left="1072" w:header="0" w:footer="0" w:gutter="0"/>
          <w:cols w:equalWidth="0" w:num="1">
            <w:col w:w="14595"/>
          </w:cols>
        </w:sectPr>
      </w:pPr>
    </w:p>
    <w:p>
      <w:pPr>
        <w:spacing w:before="63" w:line="225" w:lineRule="auto"/>
        <w:ind w:left="497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2024年一般公共预算支出情况表</w:t>
      </w:r>
    </w:p>
    <w:p>
      <w:pPr>
        <w:spacing w:before="13"/>
      </w:pPr>
    </w:p>
    <w:p>
      <w:pPr>
        <w:sectPr>
          <w:pgSz w:w="16838" w:h="11906"/>
          <w:pgMar w:top="1011" w:right="1170" w:bottom="0" w:left="1072" w:header="0" w:footer="0" w:gutter="0"/>
          <w:cols w:equalWidth="0" w:num="1">
            <w:col w:w="14595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170" w:bottom="0" w:left="1072" w:header="0" w:footer="0" w:gutter="0"/>
          <w:cols w:equalWidth="0" w:num="2">
            <w:col w:w="13492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5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19"/>
        <w:gridCol w:w="1019"/>
        <w:gridCol w:w="4480"/>
        <w:gridCol w:w="2502"/>
        <w:gridCol w:w="2263"/>
        <w:gridCol w:w="2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065" w:type="dxa"/>
            <w:gridSpan w:val="3"/>
            <w:vAlign w:val="top"/>
          </w:tcPr>
          <w:p>
            <w:pPr>
              <w:pStyle w:val="6"/>
              <w:spacing w:before="105" w:line="228" w:lineRule="auto"/>
              <w:ind w:left="114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科目编码</w:t>
            </w:r>
          </w:p>
        </w:tc>
        <w:tc>
          <w:tcPr>
            <w:tcW w:w="448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19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功能科目</w:t>
            </w:r>
          </w:p>
        </w:tc>
        <w:tc>
          <w:tcPr>
            <w:tcW w:w="250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95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总计</w:t>
            </w:r>
          </w:p>
        </w:tc>
        <w:tc>
          <w:tcPr>
            <w:tcW w:w="226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73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基本支出</w:t>
            </w:r>
          </w:p>
        </w:tc>
        <w:tc>
          <w:tcPr>
            <w:tcW w:w="227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74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13" w:line="229" w:lineRule="auto"/>
              <w:ind w:left="40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类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14" w:line="230" w:lineRule="auto"/>
              <w:ind w:left="3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款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14" w:line="229" w:lineRule="auto"/>
              <w:ind w:left="4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4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25" w:line="227" w:lineRule="auto"/>
              <w:ind w:left="40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25" w:line="227" w:lineRule="auto"/>
              <w:ind w:left="39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25" w:line="227" w:lineRule="auto"/>
              <w:ind w:left="39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25" w:line="227" w:lineRule="auto"/>
              <w:ind w:left="21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55" w:line="190" w:lineRule="auto"/>
              <w:ind w:left="12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56" w:line="189" w:lineRule="auto"/>
              <w:ind w:left="10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70" w:type="dxa"/>
            <w:vAlign w:val="top"/>
          </w:tcPr>
          <w:p>
            <w:pPr>
              <w:pStyle w:val="6"/>
              <w:spacing w:before="57" w:line="189" w:lineRule="auto"/>
              <w:ind w:left="108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78" w:line="189" w:lineRule="auto"/>
              <w:ind w:left="39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03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5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体育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78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6"/>
              <w:spacing w:before="178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79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79" w:line="189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79" w:line="189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08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6" w:line="229" w:lineRule="auto"/>
              <w:ind w:left="23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群众体育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79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6"/>
              <w:spacing w:before="179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0" w:line="189" w:lineRule="auto"/>
              <w:ind w:left="39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8" w:line="230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文物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0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6"/>
              <w:spacing w:before="180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1" w:line="189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1" w:line="189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1" w:line="189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04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9" w:line="229" w:lineRule="auto"/>
              <w:ind w:left="23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文物保护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1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6"/>
              <w:spacing w:before="181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1" w:line="190" w:lineRule="auto"/>
              <w:ind w:left="34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49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卫生健康支出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2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2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1" w:line="190" w:lineRule="auto"/>
              <w:ind w:left="413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1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行政事业单位医疗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3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36.63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3" w:line="190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2" w:line="190" w:lineRule="auto"/>
              <w:ind w:left="51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3" w:line="190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2" w:line="229" w:lineRule="auto"/>
              <w:ind w:left="23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行政单位医疗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3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13.63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3" w:line="190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13.63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4" w:line="190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3" w:line="190" w:lineRule="auto"/>
              <w:ind w:left="51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5" w:line="189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03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2" w:line="229" w:lineRule="auto"/>
              <w:ind w:left="2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公务员医疗补助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4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10.96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4" w:line="190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10.96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5" w:line="190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210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4" w:line="190" w:lineRule="auto"/>
              <w:ind w:left="51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6" w:line="189" w:lineRule="auto"/>
              <w:ind w:left="40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4" w:line="229" w:lineRule="auto"/>
              <w:ind w:left="23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其他行政事业单位医疗支出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5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12.05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5" w:line="190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12.05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5" w:line="190" w:lineRule="auto"/>
              <w:ind w:left="34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221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4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住房保障支出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7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7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8" w:line="189" w:lineRule="auto"/>
              <w:ind w:left="39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5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住房改革支出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8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27" w:type="dxa"/>
            <w:vAlign w:val="top"/>
          </w:tcPr>
          <w:p>
            <w:pPr>
              <w:pStyle w:val="6"/>
              <w:spacing w:before="187" w:line="190" w:lineRule="auto"/>
              <w:ind w:left="45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221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9" w:line="189" w:lineRule="auto"/>
              <w:ind w:left="50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88" w:line="190" w:lineRule="auto"/>
              <w:ind w:left="4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01</w:t>
            </w:r>
          </w:p>
        </w:tc>
        <w:tc>
          <w:tcPr>
            <w:tcW w:w="4480" w:type="dxa"/>
            <w:vAlign w:val="top"/>
          </w:tcPr>
          <w:p>
            <w:pPr>
              <w:pStyle w:val="6"/>
              <w:spacing w:before="157" w:line="229" w:lineRule="auto"/>
              <w:ind w:left="23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住房公积金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189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189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3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注：本表反映部门本年度一般公共预算财政拨款支出情况。本表金额转换为万元时，因四舍五入</w:t>
      </w:r>
      <w:r>
        <w:rPr>
          <w:rFonts w:ascii="宋体" w:hAnsi="宋体" w:eastAsia="宋体" w:cs="宋体"/>
          <w:spacing w:val="-1"/>
          <w:sz w:val="18"/>
          <w:szCs w:val="18"/>
        </w:rPr>
        <w:t>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1011" w:right="1170" w:bottom="0" w:left="1072" w:header="0" w:footer="0" w:gutter="0"/>
          <w:cols w:equalWidth="0" w:num="1">
            <w:col w:w="14595"/>
          </w:cols>
        </w:sectPr>
      </w:pPr>
    </w:p>
    <w:p>
      <w:pPr>
        <w:spacing w:before="64" w:line="224" w:lineRule="auto"/>
        <w:ind w:left="465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2024年一般公共预算基本支出情况表</w:t>
      </w:r>
    </w:p>
    <w:p/>
    <w:p>
      <w:pPr>
        <w:sectPr>
          <w:pgSz w:w="16838" w:h="11906"/>
          <w:pgMar w:top="1011" w:right="1140" w:bottom="0" w:left="1072" w:header="0" w:footer="0" w:gutter="0"/>
          <w:cols w:equalWidth="0" w:num="1">
            <w:col w:w="14625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单位:万元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140" w:bottom="0" w:left="1072" w:header="0" w:footer="0" w:gutter="0"/>
          <w:cols w:equalWidth="0" w:num="2">
            <w:col w:w="13612" w:space="100"/>
            <w:col w:w="914"/>
          </w:cols>
        </w:sectPr>
      </w:pPr>
    </w:p>
    <w:p>
      <w:pPr>
        <w:spacing w:line="24" w:lineRule="exact"/>
      </w:pPr>
    </w:p>
    <w:tbl>
      <w:tblPr>
        <w:tblStyle w:val="5"/>
        <w:tblW w:w="146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4360"/>
        <w:gridCol w:w="2877"/>
        <w:gridCol w:w="2517"/>
        <w:gridCol w:w="25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50" w:line="228" w:lineRule="auto"/>
              <w:ind w:left="57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经济科目编码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0" w:line="228" w:lineRule="auto"/>
              <w:ind w:left="158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经济科目名称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51" w:line="230" w:lineRule="auto"/>
              <w:ind w:left="12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总计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51" w:line="229" w:lineRule="auto"/>
              <w:ind w:left="87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人员经费</w:t>
            </w:r>
          </w:p>
        </w:tc>
        <w:tc>
          <w:tcPr>
            <w:tcW w:w="2540" w:type="dxa"/>
            <w:vAlign w:val="top"/>
          </w:tcPr>
          <w:p>
            <w:pPr>
              <w:pStyle w:val="6"/>
              <w:spacing w:before="151" w:line="229" w:lineRule="auto"/>
              <w:ind w:left="88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24" w:line="250" w:lineRule="exact"/>
              <w:ind w:left="1049"/>
              <w:rPr>
                <w:sz w:val="19"/>
                <w:szCs w:val="19"/>
              </w:rPr>
            </w:pPr>
            <w:r>
              <w:rPr>
                <w:spacing w:val="3"/>
                <w:position w:val="1"/>
                <w:sz w:val="19"/>
                <w:szCs w:val="19"/>
              </w:rPr>
              <w:t>**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24" w:line="250" w:lineRule="exact"/>
              <w:ind w:left="2064"/>
              <w:rPr>
                <w:sz w:val="19"/>
                <w:szCs w:val="19"/>
              </w:rPr>
            </w:pPr>
            <w:r>
              <w:rPr>
                <w:spacing w:val="3"/>
                <w:position w:val="1"/>
                <w:sz w:val="19"/>
                <w:szCs w:val="19"/>
              </w:rPr>
              <w:t>**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54" w:line="190" w:lineRule="auto"/>
              <w:ind w:left="139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55" w:line="189" w:lineRule="auto"/>
              <w:ind w:left="12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40" w:type="dxa"/>
            <w:vAlign w:val="top"/>
          </w:tcPr>
          <w:p>
            <w:pPr>
              <w:pStyle w:val="6"/>
              <w:spacing w:before="56" w:line="189" w:lineRule="auto"/>
              <w:ind w:left="1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0" w:type="dxa"/>
            <w:vAlign w:val="top"/>
          </w:tcPr>
          <w:p>
            <w:pPr>
              <w:pStyle w:val="6"/>
              <w:spacing w:before="145" w:line="230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合计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77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722.89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76" w:line="190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667.10</w:t>
            </w:r>
          </w:p>
        </w:tc>
        <w:tc>
          <w:tcPr>
            <w:tcW w:w="2540" w:type="dxa"/>
            <w:vAlign w:val="top"/>
          </w:tcPr>
          <w:p>
            <w:pPr>
              <w:pStyle w:val="6"/>
              <w:spacing w:before="177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55.79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77" w:line="190" w:lineRule="auto"/>
              <w:ind w:left="3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301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46" w:line="229" w:lineRule="auto"/>
              <w:ind w:left="2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工资福利支出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78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596.54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78" w:line="189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596.54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78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30101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46" w:line="228" w:lineRule="auto"/>
              <w:ind w:left="2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基本工资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79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82.68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79" w:line="189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82.68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79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30102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47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津贴补贴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0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68.36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0" w:line="189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68.36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0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30103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49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奖金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0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173.17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0" w:line="190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173.17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1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30108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49" w:line="228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机关事业单位基本养老保险缴费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2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42.63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2" w:line="189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42.63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2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30109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0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职业年金缴费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3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26.58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3" w:line="189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26.58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3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30110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1" w:line="228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职工基本医疗保险缴费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3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13.63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3" w:line="190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13.63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4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30111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2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公务员医疗补助缴费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4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23.01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4" w:line="190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23.01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5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30112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3" w:line="228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其他社会保障缴费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6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6" w:line="189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6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30113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5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住房公积金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7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7" w:line="189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49.47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7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30199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6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其他工资福利支出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7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114.07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7" w:line="190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114.07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9" w:line="189" w:lineRule="auto"/>
              <w:ind w:left="3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302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6" w:line="229" w:lineRule="auto"/>
              <w:ind w:left="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商品和服务支出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9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24.05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89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9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30201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7" w:line="229" w:lineRule="auto"/>
              <w:ind w:left="2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办公费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90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2.00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90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91" w:line="189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30205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8" w:line="229" w:lineRule="auto"/>
              <w:ind w:left="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水费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90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0.16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90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92" w:line="189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30206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60" w:line="229" w:lineRule="auto"/>
              <w:ind w:left="48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电费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91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0.10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91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0.10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8" w:h="11906"/>
          <w:pgMar w:top="1011" w:right="1140" w:bottom="0" w:left="1072" w:header="0" w:footer="0" w:gutter="0"/>
          <w:cols w:equalWidth="0" w:num="1">
            <w:col w:w="14625"/>
          </w:cols>
        </w:sectPr>
      </w:pPr>
    </w:p>
    <w:p>
      <w:pPr>
        <w:spacing w:before="64" w:line="224" w:lineRule="auto"/>
        <w:ind w:left="465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2024年一般公共预算基本支出情况表</w:t>
      </w:r>
    </w:p>
    <w:p/>
    <w:p>
      <w:pPr>
        <w:sectPr>
          <w:pgSz w:w="16838" w:h="11906"/>
          <w:pgMar w:top="1011" w:right="1140" w:bottom="0" w:left="1072" w:header="0" w:footer="0" w:gutter="0"/>
          <w:cols w:equalWidth="0" w:num="1">
            <w:col w:w="14625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单位:万元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140" w:bottom="0" w:left="1072" w:header="0" w:footer="0" w:gutter="0"/>
          <w:cols w:equalWidth="0" w:num="2">
            <w:col w:w="13612" w:space="100"/>
            <w:col w:w="914"/>
          </w:cols>
        </w:sectPr>
      </w:pPr>
    </w:p>
    <w:p>
      <w:pPr>
        <w:spacing w:line="24" w:lineRule="exact"/>
      </w:pPr>
    </w:p>
    <w:tbl>
      <w:tblPr>
        <w:tblStyle w:val="5"/>
        <w:tblW w:w="146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4360"/>
        <w:gridCol w:w="2877"/>
        <w:gridCol w:w="2517"/>
        <w:gridCol w:w="25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50" w:line="228" w:lineRule="auto"/>
              <w:ind w:left="57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经济科目编码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0" w:line="228" w:lineRule="auto"/>
              <w:ind w:left="158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经济科目名称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51" w:line="230" w:lineRule="auto"/>
              <w:ind w:left="12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总计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51" w:line="229" w:lineRule="auto"/>
              <w:ind w:left="87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人员经费</w:t>
            </w:r>
          </w:p>
        </w:tc>
        <w:tc>
          <w:tcPr>
            <w:tcW w:w="2540" w:type="dxa"/>
            <w:vAlign w:val="top"/>
          </w:tcPr>
          <w:p>
            <w:pPr>
              <w:pStyle w:val="6"/>
              <w:spacing w:before="151" w:line="229" w:lineRule="auto"/>
              <w:ind w:left="88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24" w:line="242" w:lineRule="auto"/>
              <w:ind w:left="104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24" w:line="242" w:lineRule="auto"/>
              <w:ind w:left="206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55" w:line="190" w:lineRule="auto"/>
              <w:ind w:left="139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56" w:line="189" w:lineRule="auto"/>
              <w:ind w:left="12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40" w:type="dxa"/>
            <w:vAlign w:val="top"/>
          </w:tcPr>
          <w:p>
            <w:pPr>
              <w:pStyle w:val="6"/>
              <w:spacing w:before="57" w:line="189" w:lineRule="auto"/>
              <w:ind w:left="1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78" w:line="189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30207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46" w:line="229" w:lineRule="auto"/>
              <w:ind w:left="40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邮电费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77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1.00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77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79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30211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48" w:line="229" w:lineRule="auto"/>
              <w:ind w:left="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差旅费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0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0.50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80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1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30217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4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公务接待费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2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0.50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82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3" w:line="189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30228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0" w:line="228" w:lineRule="auto"/>
              <w:ind w:left="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工会经费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3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5.40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83" w:line="189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5" w:line="189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30239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3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其他交通费用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4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14.39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84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14.39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6" w:line="189" w:lineRule="auto"/>
              <w:ind w:left="3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303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3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对个人和家庭的补助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6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6" w:line="189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7" w:line="189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30302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4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退休费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7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2517" w:type="dxa"/>
            <w:vAlign w:val="top"/>
          </w:tcPr>
          <w:p>
            <w:pPr>
              <w:pStyle w:val="6"/>
              <w:spacing w:before="187" w:line="189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70.56</w:t>
            </w:r>
          </w:p>
        </w:tc>
        <w:tc>
          <w:tcPr>
            <w:tcW w:w="2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7" w:line="190" w:lineRule="auto"/>
              <w:ind w:left="3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310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5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资本性支出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7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31.74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87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31.74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315" w:type="dxa"/>
            <w:vAlign w:val="top"/>
          </w:tcPr>
          <w:p>
            <w:pPr>
              <w:pStyle w:val="6"/>
              <w:spacing w:before="188" w:line="190" w:lineRule="auto"/>
              <w:ind w:left="2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31002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156" w:line="229" w:lineRule="auto"/>
              <w:ind w:left="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办公设备购置</w:t>
            </w:r>
          </w:p>
        </w:tc>
        <w:tc>
          <w:tcPr>
            <w:tcW w:w="2877" w:type="dxa"/>
            <w:vAlign w:val="top"/>
          </w:tcPr>
          <w:p>
            <w:pPr>
              <w:pStyle w:val="6"/>
              <w:spacing w:before="188" w:line="190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31.74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Align w:val="top"/>
          </w:tcPr>
          <w:p>
            <w:pPr>
              <w:pStyle w:val="6"/>
              <w:spacing w:before="188" w:line="190" w:lineRule="auto"/>
              <w:ind w:right="2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31.74</w:t>
            </w:r>
          </w:p>
        </w:tc>
      </w:tr>
    </w:tbl>
    <w:p>
      <w:pPr>
        <w:spacing w:before="123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注：本表反映部门本年度一般公共预算财政拨款基本支出明细情况。本表金额转换为万元时，因四舍五入</w:t>
      </w:r>
      <w:r>
        <w:rPr>
          <w:rFonts w:ascii="宋体" w:hAnsi="宋体" w:eastAsia="宋体" w:cs="宋体"/>
          <w:spacing w:val="-1"/>
          <w:sz w:val="18"/>
          <w:szCs w:val="18"/>
        </w:rPr>
        <w:t>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1011" w:right="1140" w:bottom="0" w:left="1072" w:header="0" w:footer="0" w:gutter="0"/>
          <w:cols w:equalWidth="0" w:num="1">
            <w:col w:w="14625"/>
          </w:cols>
        </w:sectPr>
      </w:pPr>
    </w:p>
    <w:p>
      <w:pPr>
        <w:spacing w:before="63" w:line="225" w:lineRule="auto"/>
        <w:ind w:left="39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2024年一般公共预算“三公”经费支出情况表</w:t>
      </w:r>
    </w:p>
    <w:p>
      <w:pPr>
        <w:spacing w:before="13"/>
      </w:pPr>
    </w:p>
    <w:p>
      <w:pPr>
        <w:sectPr>
          <w:pgSz w:w="16838" w:h="11906"/>
          <w:pgMar w:top="1011" w:right="1215" w:bottom="0" w:left="1072" w:header="0" w:footer="0" w:gutter="0"/>
          <w:cols w:equalWidth="0" w:num="1">
            <w:col w:w="14550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215" w:bottom="0" w:left="1072" w:header="0" w:footer="0" w:gutter="0"/>
          <w:cols w:equalWidth="0" w:num="2">
            <w:col w:w="13447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5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9"/>
        <w:gridCol w:w="1993"/>
        <w:gridCol w:w="1843"/>
        <w:gridCol w:w="1843"/>
        <w:gridCol w:w="1843"/>
        <w:gridCol w:w="1843"/>
        <w:gridCol w:w="18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31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26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部门名称</w:t>
            </w:r>
          </w:p>
        </w:tc>
        <w:tc>
          <w:tcPr>
            <w:tcW w:w="11215" w:type="dxa"/>
            <w:gridSpan w:val="6"/>
            <w:vAlign w:val="top"/>
          </w:tcPr>
          <w:p>
            <w:pPr>
              <w:pStyle w:val="6"/>
              <w:spacing w:before="165" w:line="229" w:lineRule="auto"/>
              <w:ind w:left="404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三公经费预（决）算数（财政拨款）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67" w:line="230" w:lineRule="auto"/>
              <w:ind w:left="7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小计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266" w:line="229" w:lineRule="auto"/>
              <w:ind w:left="43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公务接待费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267" w:line="229" w:lineRule="auto"/>
              <w:ind w:left="15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因公出国（境）费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147" w:line="231" w:lineRule="auto"/>
              <w:ind w:left="837" w:right="29" w:hanging="78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公务用车购置及运行</w:t>
            </w:r>
            <w:r>
              <w:rPr>
                <w:sz w:val="19"/>
                <w:szCs w:val="19"/>
              </w:rPr>
              <w:t>费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266" w:line="229" w:lineRule="auto"/>
              <w:ind w:left="5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其中：公务用车购置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147" w:line="231" w:lineRule="auto"/>
              <w:ind w:left="842" w:right="32" w:hanging="79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其中：公务用车运行</w:t>
            </w:r>
            <w:r>
              <w:rPr>
                <w:sz w:val="19"/>
                <w:szCs w:val="19"/>
              </w:rPr>
              <w:t>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19" w:type="dxa"/>
            <w:vAlign w:val="top"/>
          </w:tcPr>
          <w:p>
            <w:pPr>
              <w:pStyle w:val="6"/>
              <w:spacing w:before="179" w:line="226" w:lineRule="auto"/>
              <w:ind w:left="14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合计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199" w:line="189" w:lineRule="auto"/>
              <w:ind w:left="154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0.50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199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0.50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319" w:type="dxa"/>
            <w:vAlign w:val="top"/>
          </w:tcPr>
          <w:p>
            <w:pPr>
              <w:pStyle w:val="6"/>
              <w:spacing w:before="175" w:line="224" w:lineRule="auto"/>
              <w:ind w:left="3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长沙市开福区文化旅游体育局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187" w:line="189" w:lineRule="auto"/>
              <w:ind w:left="154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0.50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187" w:line="189" w:lineRule="auto"/>
              <w:ind w:right="27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0.50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8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注：本表反映部门本年度“三公”经费支出预算情况。本表金额转换为万元时</w:t>
      </w:r>
      <w:r>
        <w:rPr>
          <w:rFonts w:ascii="宋体" w:hAnsi="宋体" w:eastAsia="宋体" w:cs="宋体"/>
          <w:spacing w:val="-1"/>
          <w:sz w:val="18"/>
          <w:szCs w:val="18"/>
        </w:rPr>
        <w:t>，因四舍五入可能存在尾数误差。此表如无数字则表示单位无该项支出。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1011" w:right="1215" w:bottom="0" w:left="1072" w:header="0" w:footer="0" w:gutter="0"/>
          <w:cols w:equalWidth="0" w:num="1">
            <w:col w:w="14550"/>
          </w:cols>
        </w:sectPr>
      </w:pPr>
    </w:p>
    <w:p>
      <w:pPr>
        <w:spacing w:before="64" w:line="224" w:lineRule="auto"/>
        <w:ind w:left="48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2024年政府性基金预算支出情况表</w:t>
      </w:r>
    </w:p>
    <w:p>
      <w:pPr>
        <w:spacing w:before="15"/>
      </w:pPr>
    </w:p>
    <w:p>
      <w:pPr>
        <w:sectPr>
          <w:pgSz w:w="16838" w:h="11906"/>
          <w:pgMar w:top="1011" w:right="1095" w:bottom="0" w:left="1072" w:header="0" w:footer="0" w:gutter="0"/>
          <w:cols w:equalWidth="0" w:num="1">
            <w:col w:w="14670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095" w:bottom="0" w:left="1072" w:header="0" w:footer="0" w:gutter="0"/>
          <w:cols w:equalWidth="0" w:num="2">
            <w:col w:w="13567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65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974"/>
        <w:gridCol w:w="974"/>
        <w:gridCol w:w="4316"/>
        <w:gridCol w:w="2622"/>
        <w:gridCol w:w="2382"/>
        <w:gridCol w:w="24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929" w:type="dxa"/>
            <w:gridSpan w:val="3"/>
            <w:vAlign w:val="top"/>
          </w:tcPr>
          <w:p>
            <w:pPr>
              <w:pStyle w:val="6"/>
              <w:spacing w:before="105" w:line="228" w:lineRule="auto"/>
              <w:ind w:left="106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科目编码</w:t>
            </w:r>
          </w:p>
        </w:tc>
        <w:tc>
          <w:tcPr>
            <w:tcW w:w="431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181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功能科目</w:t>
            </w:r>
          </w:p>
        </w:tc>
        <w:tc>
          <w:tcPr>
            <w:tcW w:w="26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101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总计</w:t>
            </w:r>
          </w:p>
        </w:tc>
        <w:tc>
          <w:tcPr>
            <w:tcW w:w="238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79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基本支出</w:t>
            </w:r>
          </w:p>
        </w:tc>
        <w:tc>
          <w:tcPr>
            <w:tcW w:w="240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81" w:type="dxa"/>
            <w:vAlign w:val="top"/>
          </w:tcPr>
          <w:p>
            <w:pPr>
              <w:pStyle w:val="6"/>
              <w:spacing w:before="116" w:line="229" w:lineRule="auto"/>
              <w:ind w:left="39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类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17" w:line="230" w:lineRule="auto"/>
              <w:ind w:left="3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款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17" w:line="229" w:lineRule="auto"/>
              <w:ind w:left="38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43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1" w:type="dxa"/>
            <w:vAlign w:val="top"/>
          </w:tcPr>
          <w:p>
            <w:pPr>
              <w:pStyle w:val="6"/>
              <w:spacing w:before="31" w:line="219" w:lineRule="auto"/>
              <w:ind w:left="37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31" w:line="219" w:lineRule="auto"/>
              <w:ind w:left="36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31" w:line="219" w:lineRule="auto"/>
              <w:ind w:left="3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4316" w:type="dxa"/>
            <w:vAlign w:val="top"/>
          </w:tcPr>
          <w:p>
            <w:pPr>
              <w:pStyle w:val="6"/>
              <w:spacing w:before="31" w:line="219" w:lineRule="auto"/>
              <w:ind w:left="205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before="61" w:line="190" w:lineRule="auto"/>
              <w:ind w:left="12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62" w:line="189" w:lineRule="auto"/>
              <w:ind w:left="11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405" w:type="dxa"/>
            <w:vAlign w:val="top"/>
          </w:tcPr>
          <w:p>
            <w:pPr>
              <w:pStyle w:val="6"/>
              <w:spacing w:before="62" w:line="189" w:lineRule="auto"/>
              <w:ind w:left="11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8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注：此表为空表或为0，表示本部门无相关收支情况。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1011" w:right="1095" w:bottom="0" w:left="1072" w:header="0" w:footer="0" w:gutter="0"/>
          <w:cols w:equalWidth="0" w:num="1">
            <w:col w:w="14670"/>
          </w:cols>
        </w:sectPr>
      </w:pPr>
    </w:p>
    <w:p>
      <w:pPr>
        <w:spacing w:before="64" w:line="224" w:lineRule="auto"/>
        <w:ind w:left="500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2024年国有资本经营预算支出表</w:t>
      </w:r>
    </w:p>
    <w:p>
      <w:pPr>
        <w:spacing w:before="15"/>
      </w:pPr>
    </w:p>
    <w:p>
      <w:pPr>
        <w:sectPr>
          <w:pgSz w:w="16838" w:h="11906"/>
          <w:pgMar w:top="1011" w:right="1095" w:bottom="0" w:left="1072" w:header="0" w:footer="0" w:gutter="0"/>
          <w:cols w:equalWidth="0" w:num="1">
            <w:col w:w="14670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38" w:h="11906"/>
          <w:pgMar w:top="1011" w:right="1095" w:bottom="0" w:left="1072" w:header="0" w:footer="0" w:gutter="0"/>
          <w:cols w:equalWidth="0" w:num="2">
            <w:col w:w="13567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1465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974"/>
        <w:gridCol w:w="974"/>
        <w:gridCol w:w="4316"/>
        <w:gridCol w:w="2622"/>
        <w:gridCol w:w="2382"/>
        <w:gridCol w:w="24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929" w:type="dxa"/>
            <w:gridSpan w:val="3"/>
            <w:vAlign w:val="top"/>
          </w:tcPr>
          <w:p>
            <w:pPr>
              <w:pStyle w:val="6"/>
              <w:spacing w:before="105" w:line="228" w:lineRule="auto"/>
              <w:ind w:left="106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科目编码</w:t>
            </w:r>
          </w:p>
        </w:tc>
        <w:tc>
          <w:tcPr>
            <w:tcW w:w="431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181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功能科目</w:t>
            </w:r>
          </w:p>
        </w:tc>
        <w:tc>
          <w:tcPr>
            <w:tcW w:w="26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101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总计</w:t>
            </w:r>
          </w:p>
        </w:tc>
        <w:tc>
          <w:tcPr>
            <w:tcW w:w="238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79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基本支出</w:t>
            </w:r>
          </w:p>
        </w:tc>
        <w:tc>
          <w:tcPr>
            <w:tcW w:w="240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81" w:type="dxa"/>
            <w:vAlign w:val="top"/>
          </w:tcPr>
          <w:p>
            <w:pPr>
              <w:pStyle w:val="6"/>
              <w:spacing w:before="116" w:line="229" w:lineRule="auto"/>
              <w:ind w:left="39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类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17" w:line="230" w:lineRule="auto"/>
              <w:ind w:left="3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款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17" w:line="229" w:lineRule="auto"/>
              <w:ind w:left="38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43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1" w:type="dxa"/>
            <w:vAlign w:val="top"/>
          </w:tcPr>
          <w:p>
            <w:pPr>
              <w:pStyle w:val="6"/>
              <w:spacing w:before="31" w:line="219" w:lineRule="auto"/>
              <w:ind w:left="37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31" w:line="219" w:lineRule="auto"/>
              <w:ind w:left="36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31" w:line="219" w:lineRule="auto"/>
              <w:ind w:left="3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4316" w:type="dxa"/>
            <w:vAlign w:val="top"/>
          </w:tcPr>
          <w:p>
            <w:pPr>
              <w:pStyle w:val="6"/>
              <w:spacing w:before="31" w:line="219" w:lineRule="auto"/>
              <w:ind w:left="205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**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before="61" w:line="190" w:lineRule="auto"/>
              <w:ind w:left="12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62" w:line="189" w:lineRule="auto"/>
              <w:ind w:left="11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405" w:type="dxa"/>
            <w:vAlign w:val="top"/>
          </w:tcPr>
          <w:p>
            <w:pPr>
              <w:pStyle w:val="6"/>
              <w:spacing w:before="62" w:line="189" w:lineRule="auto"/>
              <w:ind w:left="11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8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注：当此表数据为0或空时，即本部门无此项支出</w:t>
      </w:r>
      <w:r>
        <w:rPr>
          <w:rFonts w:ascii="宋体" w:hAnsi="宋体" w:eastAsia="宋体" w:cs="宋体"/>
          <w:spacing w:val="-1"/>
          <w:sz w:val="18"/>
          <w:szCs w:val="18"/>
        </w:rPr>
        <w:t>，因此表中无数据。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1011" w:right="1095" w:bottom="0" w:left="1072" w:header="0" w:footer="0" w:gutter="0"/>
          <w:cols w:equalWidth="0" w:num="1">
            <w:col w:w="14670"/>
          </w:cols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28" o:spid="_x0000_s1028" o:spt="202" type="#_x0000_t202" style="position:absolute;left:0pt;margin-left:1201.5pt;margin-top:13.75pt;height:13.8pt;width:21.1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1172.05pt;margin-top:13.75pt;height:13.8pt;width:28.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1.35pt;margin-top:13.75pt;height:13.8pt;width:47.9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合计</w:t>
            </w: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85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280.28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3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长沙市开福区文化旅游体育局</w:t>
            </w:r>
          </w:p>
        </w:tc>
        <w:tc>
          <w:tcPr>
            <w:tcW w:w="142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85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280.28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24小时馆运行维护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941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32.00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保障24小时自助图书馆正常运行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成本节约率</w:t>
            </w:r>
          </w:p>
        </w:tc>
        <w:tc>
          <w:tcPr>
            <w:tcW w:w="115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2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项目执行过程中是否有效节约实施成本</w:t>
            </w:r>
          </w:p>
        </w:tc>
        <w:tc>
          <w:tcPr>
            <w:tcW w:w="260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83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成本节约率大于0得满分，等于1得</w:t>
            </w:r>
            <w:r>
              <w:rPr>
                <w:spacing w:val="11"/>
                <w:sz w:val="15"/>
                <w:szCs w:val="15"/>
              </w:rPr>
              <w:t>权重分的50%。小于1不得分。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0" w:right="163" w:hanging="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运行维护自助图</w:t>
            </w:r>
            <w:r>
              <w:rPr>
                <w:spacing w:val="11"/>
                <w:sz w:val="15"/>
                <w:szCs w:val="15"/>
              </w:rPr>
              <w:t>书馆数量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189" w:lineRule="auto"/>
              <w:ind w:left="3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考察运行维护的自主图书馆数量</w:t>
            </w:r>
          </w:p>
        </w:tc>
        <w:tc>
          <w:tcPr>
            <w:tcW w:w="26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少一家，扣权重分的15%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家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0" w:right="163" w:firstLine="23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自助图书馆运行</w:t>
            </w:r>
            <w:r>
              <w:rPr>
                <w:spacing w:val="12"/>
                <w:sz w:val="15"/>
                <w:szCs w:val="15"/>
              </w:rPr>
              <w:t>维护正常率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考察自助图书馆是否正常运行</w:t>
            </w:r>
          </w:p>
        </w:tc>
        <w:tc>
          <w:tcPr>
            <w:tcW w:w="260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4" w:right="98" w:firstLine="1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出现非正常运行的自助图书馆，少</w:t>
            </w:r>
            <w:r>
              <w:rPr>
                <w:spacing w:val="12"/>
                <w:sz w:val="15"/>
                <w:szCs w:val="15"/>
              </w:rPr>
              <w:t>一家，扣除权重分的七分之一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运行维护及时率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是否按期进行维修维护</w:t>
            </w:r>
          </w:p>
        </w:tc>
        <w:tc>
          <w:tcPr>
            <w:tcW w:w="26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8" w:lineRule="auto"/>
              <w:ind w:left="31" w:right="68"/>
              <w:jc w:val="both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全年未出现自助图书馆破旧，机器</w:t>
            </w:r>
            <w:r>
              <w:rPr>
                <w:spacing w:val="12"/>
                <w:sz w:val="15"/>
                <w:szCs w:val="15"/>
              </w:rPr>
              <w:t>损坏等现象，满分，出现社保损失情况未及时维修的，1次扣10%的权</w:t>
            </w:r>
            <w:r>
              <w:rPr>
                <w:spacing w:val="8"/>
                <w:sz w:val="15"/>
                <w:szCs w:val="15"/>
              </w:rPr>
              <w:t>重分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63" w:hanging="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保障自助图书馆</w:t>
            </w:r>
            <w:r>
              <w:rPr>
                <w:spacing w:val="11"/>
                <w:sz w:val="15"/>
                <w:szCs w:val="15"/>
              </w:rPr>
              <w:t>正常运行</w:t>
            </w:r>
          </w:p>
        </w:tc>
        <w:tc>
          <w:tcPr>
            <w:tcW w:w="115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有效运行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考察自助图书馆是否正常运行</w:t>
            </w:r>
          </w:p>
        </w:tc>
        <w:tc>
          <w:tcPr>
            <w:tcW w:w="260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5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自助图书馆全年正常开放的，满</w:t>
            </w:r>
          </w:p>
          <w:p>
            <w:pPr>
              <w:pStyle w:val="6"/>
              <w:spacing w:before="7" w:line="236" w:lineRule="auto"/>
              <w:ind w:left="32" w:right="8" w:firstLine="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分，因为非特殊原因关停1次，扣权重分的10%</w:t>
            </w:r>
          </w:p>
        </w:tc>
        <w:tc>
          <w:tcPr>
            <w:tcW w:w="124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31" o:spid="_x0000_s1031" o:spt="202" type="#_x0000_t202" style="position:absolute;left:0pt;margin-left:1201.5pt;margin-top:13.75pt;height:13.8pt;width:21.1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1172.05pt;margin-top:13.75pt;height:13.8pt;width:28.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1.35pt;margin-top:13.75pt;height:13.8pt;width:47.9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24小时馆运行维护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941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32.00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保障24小时自助图书馆正常运行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群众满意度</w:t>
            </w:r>
          </w:p>
        </w:tc>
        <w:tc>
          <w:tcPr>
            <w:tcW w:w="11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4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未接到自助图书馆投诉的，得满</w:t>
            </w:r>
          </w:p>
          <w:p>
            <w:pPr>
              <w:pStyle w:val="6"/>
              <w:spacing w:before="8" w:line="230" w:lineRule="auto"/>
              <w:ind w:left="3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分，接到1个投诉，扣权重分的10%</w:t>
            </w:r>
          </w:p>
        </w:tc>
        <w:tc>
          <w:tcPr>
            <w:tcW w:w="12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0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标准化村、社区综合文化站服务中心经费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93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60.00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9" w:right="75" w:hanging="4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完成5家标准化村、社区文化服务中</w:t>
            </w:r>
            <w:r>
              <w:rPr>
                <w:spacing w:val="11"/>
                <w:sz w:val="15"/>
                <w:szCs w:val="15"/>
              </w:rPr>
              <w:t>心经费下拨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42" w:lineRule="auto"/>
              <w:ind w:left="28" w:right="7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完成5个标准化村社区文化服务中</w:t>
            </w:r>
            <w:r>
              <w:rPr>
                <w:spacing w:val="1"/>
                <w:sz w:val="15"/>
                <w:szCs w:val="15"/>
              </w:rPr>
              <w:t>心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按要求完成5个标准化村社区服务中心</w:t>
            </w:r>
          </w:p>
        </w:tc>
        <w:tc>
          <w:tcPr>
            <w:tcW w:w="260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98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符合规定的，得满分，符合率每少</w:t>
            </w:r>
            <w:r>
              <w:rPr>
                <w:spacing w:val="13"/>
                <w:sz w:val="15"/>
                <w:szCs w:val="15"/>
              </w:rPr>
              <w:t>个百分点，扣除权重分的2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家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63" w:firstLine="2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下拨经费符合相关政策规定标准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考察经费是否安装文件要求下拨</w:t>
            </w:r>
          </w:p>
        </w:tc>
        <w:tc>
          <w:tcPr>
            <w:tcW w:w="2608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98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符合规定的，得满分，符合率每少</w:t>
            </w:r>
            <w:r>
              <w:rPr>
                <w:spacing w:val="13"/>
                <w:sz w:val="15"/>
                <w:szCs w:val="15"/>
              </w:rPr>
              <w:t>个百分点，扣除权重分的2%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6" w:lineRule="auto"/>
              <w:ind w:left="28" w:right="13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2024年年底前完</w:t>
            </w:r>
            <w:r>
              <w:rPr>
                <w:spacing w:val="1"/>
                <w:sz w:val="15"/>
                <w:szCs w:val="15"/>
              </w:rPr>
              <w:t>成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在规定时间内完成</w:t>
            </w:r>
          </w:p>
        </w:tc>
        <w:tc>
          <w:tcPr>
            <w:tcW w:w="260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2" w:right="13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经费下拨符合规定的，得满分，符</w:t>
            </w:r>
            <w:r>
              <w:rPr>
                <w:spacing w:val="13"/>
                <w:sz w:val="15"/>
                <w:szCs w:val="15"/>
              </w:rPr>
              <w:t>合率每少个百分点，扣除权重分的2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家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34" o:spid="_x0000_s1034" o:spt="202" type="#_x0000_t202" style="position:absolute;left:0pt;margin-left:1201.5pt;margin-top:13.75pt;height:13.8pt;width:21.1pt;z-index:2516695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172.05pt;margin-top:13.75pt;height:13.8pt;width:28.5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1.35pt;margin-top:13.75pt;height:13.8pt;width:47.95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0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标准化村、社区综合文化站服务中心经费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191" w:lineRule="auto"/>
              <w:ind w:left="93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60.00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9" w:right="75" w:hanging="4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完成5家标准化村、社区文化服务中</w:t>
            </w:r>
            <w:r>
              <w:rPr>
                <w:spacing w:val="11"/>
                <w:sz w:val="15"/>
                <w:szCs w:val="15"/>
              </w:rPr>
              <w:t>心经费下拨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2" w:right="163" w:hanging="4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保障文化服务中</w:t>
            </w:r>
            <w:r>
              <w:rPr>
                <w:spacing w:val="11"/>
                <w:sz w:val="15"/>
                <w:szCs w:val="15"/>
              </w:rPr>
              <w:t>心正常运转</w:t>
            </w:r>
          </w:p>
        </w:tc>
        <w:tc>
          <w:tcPr>
            <w:tcW w:w="115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有效保障</w:t>
            </w:r>
          </w:p>
        </w:tc>
        <w:tc>
          <w:tcPr>
            <w:tcW w:w="3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考察标准化文化服务中心是否有效运转</w:t>
            </w:r>
          </w:p>
        </w:tc>
        <w:tc>
          <w:tcPr>
            <w:tcW w:w="260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31" w:right="98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文化服务中心运转情况良好为有效保障，运转一半得权重分的满分，</w:t>
            </w:r>
            <w:r>
              <w:rPr>
                <w:spacing w:val="13"/>
                <w:sz w:val="15"/>
                <w:szCs w:val="15"/>
              </w:rPr>
              <w:t>运转艰难的不得分</w:t>
            </w:r>
          </w:p>
        </w:tc>
        <w:tc>
          <w:tcPr>
            <w:tcW w:w="12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  <w:tc>
          <w:tcPr>
            <w:tcW w:w="29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群众满意度</w:t>
            </w:r>
          </w:p>
        </w:tc>
        <w:tc>
          <w:tcPr>
            <w:tcW w:w="115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9" w:right="4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考察群众对标准化村、社区文化服务中心的</w:t>
            </w:r>
            <w:r>
              <w:rPr>
                <w:spacing w:val="11"/>
                <w:sz w:val="15"/>
                <w:szCs w:val="15"/>
              </w:rPr>
              <w:t>满意程度</w:t>
            </w:r>
          </w:p>
        </w:tc>
        <w:tc>
          <w:tcPr>
            <w:tcW w:w="260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43" w:right="148" w:hanging="1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满意度大于等于90%得满分，每下</w:t>
            </w:r>
            <w:r>
              <w:rPr>
                <w:spacing w:val="13"/>
                <w:sz w:val="15"/>
                <w:szCs w:val="15"/>
              </w:rPr>
              <w:t>降1个百分点，扣除权重分的0.1%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04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非物质文化遗产保护经费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1029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9.00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开展非遗宣传展示活动1次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成本节约率</w:t>
            </w:r>
          </w:p>
        </w:tc>
        <w:tc>
          <w:tcPr>
            <w:tcW w:w="115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考察项目执行过程中是否有效节约实施成本</w:t>
            </w:r>
          </w:p>
        </w:tc>
        <w:tc>
          <w:tcPr>
            <w:tcW w:w="260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83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成本节约率大于0得满分，等于0得</w:t>
            </w:r>
            <w:r>
              <w:rPr>
                <w:spacing w:val="13"/>
                <w:sz w:val="15"/>
                <w:szCs w:val="15"/>
              </w:rPr>
              <w:t>权重分的一半，小于0不得分。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社会效益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参与活动的群众人数是否增加</w:t>
            </w:r>
          </w:p>
        </w:tc>
        <w:tc>
          <w:tcPr>
            <w:tcW w:w="260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32" w:right="68" w:hanging="1"/>
              <w:jc w:val="both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根据现场群众反馈判定，满意度大于等于90%，得满分。每下降1个百</w:t>
            </w:r>
            <w:r>
              <w:rPr>
                <w:spacing w:val="13"/>
                <w:sz w:val="15"/>
                <w:szCs w:val="15"/>
              </w:rPr>
              <w:t>分点扣除权重分的1%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7" w:right="16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举办非遗展示活</w:t>
            </w:r>
            <w:r>
              <w:rPr>
                <w:spacing w:val="10"/>
                <w:sz w:val="15"/>
                <w:szCs w:val="15"/>
              </w:rPr>
              <w:t>动次数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是否举办非遗展示活动</w:t>
            </w:r>
          </w:p>
        </w:tc>
        <w:tc>
          <w:tcPr>
            <w:tcW w:w="2608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9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举办非遗展示活动得满分，未举办</w:t>
            </w:r>
            <w:r>
              <w:rPr>
                <w:spacing w:val="10"/>
                <w:sz w:val="15"/>
                <w:szCs w:val="15"/>
              </w:rPr>
              <w:t>得0分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7" w:right="16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举办非遗展示活</w:t>
            </w:r>
            <w:r>
              <w:rPr>
                <w:spacing w:val="12"/>
                <w:sz w:val="15"/>
                <w:szCs w:val="15"/>
              </w:rPr>
              <w:t>动验收通过率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是否验收通过活动</w:t>
            </w:r>
          </w:p>
        </w:tc>
        <w:tc>
          <w:tcPr>
            <w:tcW w:w="2608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3" w:right="13" w:hanging="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验收通过得满分，未验收通过，得0</w:t>
            </w:r>
            <w:r>
              <w:rPr>
                <w:sz w:val="15"/>
                <w:szCs w:val="15"/>
              </w:rPr>
              <w:t>分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4" w:right="163" w:hanging="7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举办非遗活动的</w:t>
            </w:r>
            <w:r>
              <w:rPr>
                <w:spacing w:val="5"/>
                <w:sz w:val="15"/>
                <w:szCs w:val="15"/>
              </w:rPr>
              <w:t>时间</w:t>
            </w:r>
          </w:p>
        </w:tc>
        <w:tc>
          <w:tcPr>
            <w:tcW w:w="11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2023年12月前完成</w:t>
            </w:r>
          </w:p>
        </w:tc>
        <w:tc>
          <w:tcPr>
            <w:tcW w:w="2608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2" w:right="138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按时完成得满分，没有按时完成，</w:t>
            </w:r>
            <w:r>
              <w:rPr>
                <w:spacing w:val="10"/>
                <w:sz w:val="15"/>
                <w:szCs w:val="15"/>
              </w:rPr>
              <w:t>得0分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37" o:spid="_x0000_s1037" o:spt="202" type="#_x0000_t202" style="position:absolute;left:0pt;margin-left:1201.5pt;margin-top:13.75pt;height:13.8pt;width:21.1pt;z-index:251672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1172.05pt;margin-top:13.75pt;height:13.8pt;width:28.5pt;z-index:2516715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1.35pt;margin-top:13.75pt;height:13.8pt;width:47.95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04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非物质文化遗产保护经费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1029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9.00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开展非遗宣传展示活动1次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提高群众参与度</w:t>
            </w:r>
          </w:p>
        </w:tc>
        <w:tc>
          <w:tcPr>
            <w:tcW w:w="115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有效保障</w:t>
            </w:r>
          </w:p>
        </w:tc>
        <w:tc>
          <w:tcPr>
            <w:tcW w:w="32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参与活动的群众人数是否增加</w:t>
            </w:r>
          </w:p>
        </w:tc>
        <w:tc>
          <w:tcPr>
            <w:tcW w:w="260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参与活动人数超过300人，为提</w:t>
            </w:r>
          </w:p>
          <w:p>
            <w:pPr>
              <w:pStyle w:val="6"/>
              <w:spacing w:before="8" w:line="235" w:lineRule="auto"/>
              <w:ind w:left="32" w:right="93" w:firstLine="3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高，等于300人，得权重分的50%，</w:t>
            </w:r>
            <w:r>
              <w:rPr>
                <w:spacing w:val="12"/>
                <w:sz w:val="15"/>
                <w:szCs w:val="15"/>
              </w:rPr>
              <w:t>少于300人不得分。</w:t>
            </w:r>
          </w:p>
        </w:tc>
        <w:tc>
          <w:tcPr>
            <w:tcW w:w="124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4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人次</w:t>
            </w:r>
          </w:p>
        </w:tc>
        <w:tc>
          <w:tcPr>
            <w:tcW w:w="29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群众参与满意度</w:t>
            </w:r>
          </w:p>
        </w:tc>
        <w:tc>
          <w:tcPr>
            <w:tcW w:w="115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9"/>
                <w:position w:val="1"/>
                <w:sz w:val="15"/>
                <w:szCs w:val="15"/>
              </w:rPr>
              <w:t>95%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0"/>
              <w:rPr>
                <w:sz w:val="15"/>
                <w:szCs w:val="15"/>
              </w:rPr>
            </w:pPr>
            <w:r>
              <w:rPr>
                <w:spacing w:val="9"/>
                <w:position w:val="1"/>
                <w:sz w:val="15"/>
                <w:szCs w:val="15"/>
              </w:rPr>
              <w:t>95%</w:t>
            </w:r>
          </w:p>
        </w:tc>
        <w:tc>
          <w:tcPr>
            <w:tcW w:w="26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2"/>
              <w:rPr>
                <w:sz w:val="15"/>
                <w:szCs w:val="15"/>
              </w:rPr>
            </w:pPr>
            <w:r>
              <w:rPr>
                <w:spacing w:val="9"/>
                <w:position w:val="1"/>
                <w:sz w:val="15"/>
                <w:szCs w:val="15"/>
              </w:rPr>
              <w:t>95%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0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街道文化站免费开放经费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12.60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完成街道文化站免费开放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7" w:lineRule="auto"/>
              <w:ind w:left="27" w:right="163"/>
              <w:jc w:val="both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街道文化站免费开放带来的经济</w:t>
            </w:r>
            <w:r>
              <w:rPr>
                <w:spacing w:val="8"/>
                <w:sz w:val="15"/>
                <w:szCs w:val="15"/>
              </w:rPr>
              <w:t>效益</w:t>
            </w:r>
          </w:p>
        </w:tc>
        <w:tc>
          <w:tcPr>
            <w:tcW w:w="11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有效保障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考察阶段文化站免费开放情况</w:t>
            </w:r>
          </w:p>
        </w:tc>
        <w:tc>
          <w:tcPr>
            <w:tcW w:w="260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31" w:right="8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文化站均正常开放得满分，街道文化站免费开放比例每下降1个，扣除</w:t>
            </w:r>
            <w:r>
              <w:rPr>
                <w:spacing w:val="11"/>
                <w:sz w:val="15"/>
                <w:szCs w:val="15"/>
              </w:rPr>
              <w:t>权重分的12.5%项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8" w:right="163" w:firstLine="3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下拨街道文化站</w:t>
            </w:r>
            <w:r>
              <w:rPr>
                <w:spacing w:val="8"/>
                <w:sz w:val="15"/>
                <w:szCs w:val="15"/>
              </w:rPr>
              <w:t>数量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经费下拨街道文化站数量</w:t>
            </w:r>
          </w:p>
        </w:tc>
        <w:tc>
          <w:tcPr>
            <w:tcW w:w="260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9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根据实际下拨文化站占应下拨文化站比例乘以权重分为最终评分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8" w:right="163" w:firstLine="3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下拨资金符合政策规定比例</w:t>
            </w:r>
          </w:p>
        </w:tc>
        <w:tc>
          <w:tcPr>
            <w:tcW w:w="115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40"/>
              <w:rPr>
                <w:sz w:val="15"/>
                <w:szCs w:val="15"/>
              </w:rPr>
            </w:pPr>
            <w:r>
              <w:rPr>
                <w:spacing w:val="7"/>
                <w:position w:val="1"/>
                <w:sz w:val="15"/>
                <w:szCs w:val="15"/>
              </w:rPr>
              <w:t>100%</w:t>
            </w:r>
          </w:p>
        </w:tc>
        <w:tc>
          <w:tcPr>
            <w:tcW w:w="320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考察资金下拨情况</w:t>
            </w:r>
          </w:p>
        </w:tc>
        <w:tc>
          <w:tcPr>
            <w:tcW w:w="2608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7" w:lineRule="auto"/>
              <w:ind w:left="32" w:right="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按照政策规定下拨的，得满分，按规定下拨比例每少1个百分比，扣权</w:t>
            </w:r>
            <w:r>
              <w:rPr>
                <w:spacing w:val="11"/>
                <w:sz w:val="15"/>
                <w:szCs w:val="15"/>
              </w:rPr>
              <w:t>重分的1%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40" o:spid="_x0000_s1040" o:spt="202" type="#_x0000_t202" style="position:absolute;left:0pt;margin-left:1201.5pt;margin-top:13.75pt;height:13.8pt;width:21.1pt;z-index:2516756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172.05pt;margin-top:13.75pt;height:13.8pt;width:28.5pt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1.35pt;margin-top:13.75pt;height:13.8pt;width:47.95pt;z-index:2516736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0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街道文化站免费开放经费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12.60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完成街道文化站免费开放</w:t>
            </w:r>
          </w:p>
        </w:tc>
        <w:tc>
          <w:tcPr>
            <w:tcW w:w="8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下拨及时性</w:t>
            </w:r>
          </w:p>
        </w:tc>
        <w:tc>
          <w:tcPr>
            <w:tcW w:w="115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40"/>
              <w:rPr>
                <w:sz w:val="15"/>
                <w:szCs w:val="15"/>
              </w:rPr>
            </w:pPr>
            <w:r>
              <w:rPr>
                <w:spacing w:val="7"/>
                <w:position w:val="1"/>
                <w:sz w:val="15"/>
                <w:szCs w:val="15"/>
              </w:rPr>
              <w:t>100%</w:t>
            </w:r>
          </w:p>
        </w:tc>
        <w:tc>
          <w:tcPr>
            <w:tcW w:w="3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考察资金下拨时间</w:t>
            </w:r>
          </w:p>
        </w:tc>
        <w:tc>
          <w:tcPr>
            <w:tcW w:w="260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7" w:lineRule="auto"/>
              <w:ind w:left="32" w:right="53"/>
              <w:jc w:val="both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按照文件要求下拨，得满分，超过2023年12月，每晚一个月，扣除权</w:t>
            </w:r>
            <w:r>
              <w:rPr>
                <w:spacing w:val="12"/>
                <w:sz w:val="15"/>
                <w:szCs w:val="15"/>
              </w:rPr>
              <w:t>重分的20%</w:t>
            </w:r>
          </w:p>
        </w:tc>
        <w:tc>
          <w:tcPr>
            <w:tcW w:w="12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63" w:hanging="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保障街道文化站</w:t>
            </w:r>
            <w:r>
              <w:rPr>
                <w:spacing w:val="11"/>
                <w:sz w:val="15"/>
                <w:szCs w:val="15"/>
              </w:rPr>
              <w:t>正常开放</w:t>
            </w:r>
          </w:p>
        </w:tc>
        <w:tc>
          <w:tcPr>
            <w:tcW w:w="115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有效保障</w:t>
            </w:r>
          </w:p>
        </w:tc>
        <w:tc>
          <w:tcPr>
            <w:tcW w:w="32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考察阶段文化站免费开放情况</w:t>
            </w:r>
          </w:p>
        </w:tc>
        <w:tc>
          <w:tcPr>
            <w:tcW w:w="260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31" w:right="8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文化站均正常开放得满分，街道文化站免费开放比例每下降1个，扣除</w:t>
            </w:r>
            <w:r>
              <w:rPr>
                <w:spacing w:val="13"/>
                <w:sz w:val="15"/>
                <w:szCs w:val="15"/>
              </w:rPr>
              <w:t>权重分的12.5%</w:t>
            </w:r>
          </w:p>
        </w:tc>
        <w:tc>
          <w:tcPr>
            <w:tcW w:w="12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63" w:hanging="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保障街道文化站</w:t>
            </w:r>
            <w:r>
              <w:rPr>
                <w:spacing w:val="11"/>
                <w:sz w:val="15"/>
                <w:szCs w:val="15"/>
              </w:rPr>
              <w:t>正常开放</w:t>
            </w:r>
          </w:p>
        </w:tc>
        <w:tc>
          <w:tcPr>
            <w:tcW w:w="115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有效保障</w:t>
            </w:r>
          </w:p>
        </w:tc>
        <w:tc>
          <w:tcPr>
            <w:tcW w:w="32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考察阶段文化站免费开放情况</w:t>
            </w:r>
          </w:p>
        </w:tc>
        <w:tc>
          <w:tcPr>
            <w:tcW w:w="260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31" w:right="8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文化站均正常开放得满分，街道文化站免费开放比例每下降1个，扣除</w:t>
            </w:r>
            <w:r>
              <w:rPr>
                <w:spacing w:val="11"/>
                <w:sz w:val="15"/>
                <w:szCs w:val="15"/>
              </w:rPr>
              <w:t>权重分的12.5%项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8" w:right="163" w:hanging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服务对象满意度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15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9"/>
                <w:position w:val="1"/>
                <w:sz w:val="15"/>
                <w:szCs w:val="15"/>
              </w:rPr>
              <w:t>90%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考察群众对街道文化站满意程度</w:t>
            </w:r>
          </w:p>
        </w:tc>
        <w:tc>
          <w:tcPr>
            <w:tcW w:w="260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群众满意度高于等于90%，得满</w:t>
            </w:r>
          </w:p>
          <w:p>
            <w:pPr>
              <w:pStyle w:val="6"/>
              <w:spacing w:before="7" w:line="236" w:lineRule="auto"/>
              <w:ind w:left="33" w:right="9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分，每下降一个百分点，扣除权重</w:t>
            </w:r>
            <w:r>
              <w:rPr>
                <w:spacing w:val="10"/>
                <w:sz w:val="15"/>
                <w:szCs w:val="15"/>
              </w:rPr>
              <w:t>分的1%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8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&gt;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开福游如意码功能升级和维护经费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10.00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开福游如意码功能升级和维护经费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8" w:right="163" w:firstLine="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如意码泊车功能</w:t>
            </w:r>
            <w:r>
              <w:rPr>
                <w:spacing w:val="11"/>
                <w:sz w:val="15"/>
                <w:szCs w:val="15"/>
              </w:rPr>
              <w:t>升级费用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考察如意码经费平均标准</w:t>
            </w:r>
          </w:p>
        </w:tc>
        <w:tc>
          <w:tcPr>
            <w:tcW w:w="26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升级完成得满分，没完成得0分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6" w:lineRule="auto"/>
              <w:ind w:left="33" w:right="163" w:hanging="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开福游如意码功</w:t>
            </w:r>
            <w:r>
              <w:rPr>
                <w:spacing w:val="8"/>
                <w:sz w:val="15"/>
                <w:szCs w:val="15"/>
              </w:rPr>
              <w:t>能升级</w:t>
            </w:r>
          </w:p>
        </w:tc>
        <w:tc>
          <w:tcPr>
            <w:tcW w:w="11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2" w:lineRule="auto"/>
              <w:ind w:left="32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功能升级</w:t>
            </w:r>
          </w:p>
        </w:tc>
        <w:tc>
          <w:tcPr>
            <w:tcW w:w="260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5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泊车功能升级</w:t>
            </w:r>
          </w:p>
        </w:tc>
        <w:tc>
          <w:tcPr>
            <w:tcW w:w="124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3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个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43" o:spid="_x0000_s1043" o:spt="202" type="#_x0000_t202" style="position:absolute;left:0pt;margin-left:1201.5pt;margin-top:13.75pt;height:13.8pt;width:21.1pt;z-index:2516787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1172.05pt;margin-top:13.75pt;height:13.8pt;width:28.5pt;z-index:2516776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1.35pt;margin-top:13.75pt;height:13.8pt;width:47.95pt;z-index:2516766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开福游如意码功能升级和维护经费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10.00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开福游如意码功能升级和维护经费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8" w:right="16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开福游如意码泊</w:t>
            </w:r>
            <w:r>
              <w:rPr>
                <w:spacing w:val="12"/>
                <w:sz w:val="15"/>
                <w:szCs w:val="15"/>
              </w:rPr>
              <w:t>车功能升级</w:t>
            </w:r>
          </w:p>
        </w:tc>
        <w:tc>
          <w:tcPr>
            <w:tcW w:w="115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按要求功能升级</w:t>
            </w:r>
          </w:p>
        </w:tc>
        <w:tc>
          <w:tcPr>
            <w:tcW w:w="26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根据区级考核结果评定</w:t>
            </w:r>
          </w:p>
        </w:tc>
        <w:tc>
          <w:tcPr>
            <w:tcW w:w="12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3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个</w:t>
            </w:r>
          </w:p>
        </w:tc>
        <w:tc>
          <w:tcPr>
            <w:tcW w:w="29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按合同要求完成</w:t>
            </w:r>
          </w:p>
        </w:tc>
        <w:tc>
          <w:tcPr>
            <w:tcW w:w="115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2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2024年度完成</w:t>
            </w:r>
          </w:p>
        </w:tc>
        <w:tc>
          <w:tcPr>
            <w:tcW w:w="26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按合同要求验收</w:t>
            </w:r>
          </w:p>
        </w:tc>
        <w:tc>
          <w:tcPr>
            <w:tcW w:w="124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3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个</w:t>
            </w:r>
          </w:p>
        </w:tc>
        <w:tc>
          <w:tcPr>
            <w:tcW w:w="29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63" w:firstLine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升级完成，满足</w:t>
            </w:r>
            <w:r>
              <w:rPr>
                <w:spacing w:val="11"/>
                <w:sz w:val="15"/>
                <w:szCs w:val="15"/>
              </w:rPr>
              <w:t>游客需求</w:t>
            </w:r>
          </w:p>
        </w:tc>
        <w:tc>
          <w:tcPr>
            <w:tcW w:w="115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有效保障</w:t>
            </w:r>
          </w:p>
        </w:tc>
        <w:tc>
          <w:tcPr>
            <w:tcW w:w="32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游客使用便捷度</w:t>
            </w:r>
          </w:p>
        </w:tc>
        <w:tc>
          <w:tcPr>
            <w:tcW w:w="26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根据游客使用率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游客满意率</w:t>
            </w:r>
          </w:p>
        </w:tc>
        <w:tc>
          <w:tcPr>
            <w:tcW w:w="11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9"/>
                <w:position w:val="1"/>
                <w:sz w:val="15"/>
                <w:szCs w:val="15"/>
              </w:rPr>
              <w:t>90%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游客对如意码使用满意度</w:t>
            </w:r>
          </w:p>
        </w:tc>
        <w:tc>
          <w:tcPr>
            <w:tcW w:w="26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游客对如意码使用满意度</w:t>
            </w:r>
          </w:p>
        </w:tc>
        <w:tc>
          <w:tcPr>
            <w:tcW w:w="124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4" w:right="52" w:hanging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游客对如意码使</w:t>
            </w:r>
            <w:r>
              <w:rPr>
                <w:spacing w:val="11"/>
                <w:sz w:val="15"/>
                <w:szCs w:val="15"/>
              </w:rPr>
              <w:t>用满意度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0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体育协会经费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191" w:lineRule="auto"/>
              <w:ind w:left="1029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8.80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4" w:right="16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举办体育活动赛事，提升群众全民</w:t>
            </w:r>
            <w:r>
              <w:rPr>
                <w:spacing w:val="13"/>
                <w:sz w:val="15"/>
                <w:szCs w:val="15"/>
              </w:rPr>
              <w:t>健身意识和参与度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成本节约率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项目执行过程中是否有效节约实施成本</w:t>
            </w:r>
          </w:p>
        </w:tc>
        <w:tc>
          <w:tcPr>
            <w:tcW w:w="260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33" w:right="8" w:hanging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成本节约率大于0的得满分，等于0</w:t>
            </w:r>
            <w:r>
              <w:rPr>
                <w:spacing w:val="14"/>
                <w:sz w:val="15"/>
                <w:szCs w:val="15"/>
              </w:rPr>
              <w:t>的得权重分的一半，节约率小于0的</w:t>
            </w:r>
            <w:r>
              <w:rPr>
                <w:spacing w:val="10"/>
                <w:sz w:val="15"/>
                <w:szCs w:val="15"/>
              </w:rPr>
              <w:t>不得分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8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&gt;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46" o:spid="_x0000_s1046" o:spt="202" type="#_x0000_t202" style="position:absolute;left:0pt;margin-left:1201.5pt;margin-top:13.75pt;height:13.8pt;width:21.1pt;z-index:2516817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1172.05pt;margin-top:13.75pt;height:13.8pt;width:28.5pt;z-index:2516807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1.35pt;margin-top:13.75pt;height:13.8pt;width:47.95pt;z-index:2516797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0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体育协会经费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1029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8.80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4" w:right="16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举办体育活动赛事，提升群众全民</w:t>
            </w:r>
            <w:r>
              <w:rPr>
                <w:spacing w:val="13"/>
                <w:sz w:val="15"/>
                <w:szCs w:val="15"/>
              </w:rPr>
              <w:t>健身意识和参与度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8" w:right="163" w:hanging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体育活动举办次</w:t>
            </w:r>
            <w:r>
              <w:rPr>
                <w:spacing w:val="1"/>
                <w:sz w:val="15"/>
                <w:szCs w:val="15"/>
              </w:rPr>
              <w:t>数</w:t>
            </w:r>
          </w:p>
        </w:tc>
        <w:tc>
          <w:tcPr>
            <w:tcW w:w="115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体育活动举办频次</w:t>
            </w:r>
          </w:p>
        </w:tc>
        <w:tc>
          <w:tcPr>
            <w:tcW w:w="260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1" w:right="6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举办1场，扣除权重分的50%，没有</w:t>
            </w:r>
            <w:r>
              <w:rPr>
                <w:spacing w:val="12"/>
                <w:sz w:val="15"/>
                <w:szCs w:val="15"/>
              </w:rPr>
              <w:t>举办得0分</w:t>
            </w:r>
          </w:p>
        </w:tc>
        <w:tc>
          <w:tcPr>
            <w:tcW w:w="12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次</w:t>
            </w:r>
          </w:p>
        </w:tc>
        <w:tc>
          <w:tcPr>
            <w:tcW w:w="29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体育活动完成率</w:t>
            </w:r>
          </w:p>
        </w:tc>
        <w:tc>
          <w:tcPr>
            <w:tcW w:w="115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体育活动是否顺利举办完成</w:t>
            </w:r>
          </w:p>
        </w:tc>
        <w:tc>
          <w:tcPr>
            <w:tcW w:w="260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3" w:right="8" w:firstLine="7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只完成验收的活动为1场，扣除权重</w:t>
            </w:r>
            <w:r>
              <w:rPr>
                <w:spacing w:val="14"/>
                <w:sz w:val="15"/>
                <w:szCs w:val="15"/>
              </w:rPr>
              <w:t>分的50%，均未验收通过得0分</w:t>
            </w:r>
          </w:p>
        </w:tc>
        <w:tc>
          <w:tcPr>
            <w:tcW w:w="124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4" w:right="163" w:hanging="7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体育活动完成及</w:t>
            </w:r>
            <w:r>
              <w:rPr>
                <w:spacing w:val="5"/>
                <w:sz w:val="15"/>
                <w:szCs w:val="15"/>
              </w:rPr>
              <w:t>时性</w:t>
            </w:r>
          </w:p>
        </w:tc>
        <w:tc>
          <w:tcPr>
            <w:tcW w:w="11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体育活动是否在2023年度完成</w:t>
            </w:r>
          </w:p>
        </w:tc>
        <w:tc>
          <w:tcPr>
            <w:tcW w:w="260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40" w:right="48" w:hanging="8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按照年初计划完成2场活动得满分，</w:t>
            </w:r>
            <w:r>
              <w:rPr>
                <w:spacing w:val="12"/>
                <w:sz w:val="15"/>
                <w:szCs w:val="15"/>
              </w:rPr>
              <w:t>只完成1场得权重分的50%</w:t>
            </w:r>
          </w:p>
        </w:tc>
        <w:tc>
          <w:tcPr>
            <w:tcW w:w="12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次</w:t>
            </w:r>
          </w:p>
        </w:tc>
        <w:tc>
          <w:tcPr>
            <w:tcW w:w="29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/>
              <w:ind w:left="28" w:right="163" w:firstLine="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活动产生经济效</w:t>
            </w:r>
            <w:r>
              <w:rPr>
                <w:spacing w:val="1"/>
                <w:sz w:val="15"/>
                <w:szCs w:val="15"/>
              </w:rPr>
              <w:t>益</w:t>
            </w:r>
          </w:p>
        </w:tc>
        <w:tc>
          <w:tcPr>
            <w:tcW w:w="115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增加</w:t>
            </w:r>
          </w:p>
        </w:tc>
        <w:tc>
          <w:tcPr>
            <w:tcW w:w="32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活动是否对产生经济效益</w:t>
            </w:r>
          </w:p>
        </w:tc>
        <w:tc>
          <w:tcPr>
            <w:tcW w:w="26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活动提升经济效益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8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&gt;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群众满意度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群众对体育活动赛事的满意程度</w:t>
            </w:r>
          </w:p>
        </w:tc>
        <w:tc>
          <w:tcPr>
            <w:tcW w:w="260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32" w:right="53" w:hanging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群众赛后对活动的目的为80-100的</w:t>
            </w:r>
            <w:r>
              <w:rPr>
                <w:spacing w:val="13"/>
                <w:sz w:val="15"/>
                <w:szCs w:val="15"/>
              </w:rPr>
              <w:t>为满意，50-80的为较为满意，50</w:t>
            </w:r>
            <w:r>
              <w:rPr>
                <w:spacing w:val="12"/>
                <w:sz w:val="15"/>
                <w:szCs w:val="15"/>
              </w:rPr>
              <w:t>以下的为不满意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1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图书采购、报刊杂志订阅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941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36.48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5" w:right="12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新增书按人口数不少于0.02册/人/</w:t>
            </w:r>
            <w:r>
              <w:rPr>
                <w:spacing w:val="2"/>
                <w:sz w:val="15"/>
                <w:szCs w:val="15"/>
              </w:rPr>
              <w:t>年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29" w:right="163" w:hanging="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群众读书需求满</w:t>
            </w:r>
            <w:r>
              <w:rPr>
                <w:sz w:val="15"/>
                <w:szCs w:val="15"/>
              </w:rPr>
              <w:t>足</w:t>
            </w:r>
          </w:p>
        </w:tc>
        <w:tc>
          <w:tcPr>
            <w:tcW w:w="115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有效保障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新书是否满足群众需求</w:t>
            </w:r>
          </w:p>
        </w:tc>
        <w:tc>
          <w:tcPr>
            <w:tcW w:w="260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4" w:right="9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如果图书馆用户意见反馈中存在图</w:t>
            </w:r>
            <w:r>
              <w:rPr>
                <w:spacing w:val="13"/>
                <w:sz w:val="15"/>
                <w:szCs w:val="15"/>
              </w:rPr>
              <w:t>书不足或没有想看的图书这类意</w:t>
            </w:r>
          </w:p>
          <w:p>
            <w:pPr>
              <w:pStyle w:val="6"/>
              <w:spacing w:before="8" w:line="230" w:lineRule="auto"/>
              <w:ind w:left="3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见，为不满足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49" o:spid="_x0000_s1049" o:spt="202" type="#_x0000_t202" style="position:absolute;left:0pt;margin-left:1201.5pt;margin-top:13.75pt;height:13.8pt;width:21.1pt;z-index:2516848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1172.05pt;margin-top:13.75pt;height:13.8pt;width:28.5pt;z-index:2516838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1.35pt;margin-top:13.75pt;height:13.8pt;width:47.95pt;z-index:2516828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1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图书采购、报刊杂志订阅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191" w:lineRule="auto"/>
              <w:ind w:left="941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36.48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5" w:right="12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新增书按人口数不少于0.02册/人/</w:t>
            </w:r>
            <w:r>
              <w:rPr>
                <w:spacing w:val="2"/>
                <w:sz w:val="15"/>
                <w:szCs w:val="15"/>
              </w:rPr>
              <w:t>年</w:t>
            </w:r>
          </w:p>
        </w:tc>
        <w:tc>
          <w:tcPr>
            <w:tcW w:w="8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新书采购数量</w:t>
            </w:r>
          </w:p>
        </w:tc>
        <w:tc>
          <w:tcPr>
            <w:tcW w:w="115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0.02</w:t>
            </w:r>
          </w:p>
        </w:tc>
        <w:tc>
          <w:tcPr>
            <w:tcW w:w="32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按照人口数，是否每人新增0.02册/人/年</w:t>
            </w:r>
          </w:p>
        </w:tc>
        <w:tc>
          <w:tcPr>
            <w:tcW w:w="260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2" w:right="313" w:hanging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低于0.02册，评分为权重分的50%，没有新书采购，为0分</w:t>
            </w:r>
          </w:p>
        </w:tc>
        <w:tc>
          <w:tcPr>
            <w:tcW w:w="124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2" w:lineRule="auto"/>
              <w:ind w:left="33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册</w:t>
            </w:r>
          </w:p>
        </w:tc>
        <w:tc>
          <w:tcPr>
            <w:tcW w:w="29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新书到馆比例</w:t>
            </w:r>
          </w:p>
        </w:tc>
        <w:tc>
          <w:tcPr>
            <w:tcW w:w="11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新书是否全部入库</w:t>
            </w:r>
          </w:p>
        </w:tc>
        <w:tc>
          <w:tcPr>
            <w:tcW w:w="260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5" w:right="98" w:hanging="3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新书全部入库得满分，入库新书占</w:t>
            </w:r>
            <w:r>
              <w:rPr>
                <w:spacing w:val="13"/>
                <w:sz w:val="15"/>
                <w:szCs w:val="15"/>
              </w:rPr>
              <w:t>总采购量的比例为评分结果</w:t>
            </w:r>
          </w:p>
        </w:tc>
        <w:tc>
          <w:tcPr>
            <w:tcW w:w="12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新书到馆及时性</w:t>
            </w:r>
          </w:p>
        </w:tc>
        <w:tc>
          <w:tcPr>
            <w:tcW w:w="115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0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2024年年底之</w:t>
            </w:r>
            <w:r>
              <w:rPr>
                <w:sz w:val="15"/>
                <w:szCs w:val="15"/>
              </w:rPr>
              <w:t>前</w:t>
            </w:r>
          </w:p>
        </w:tc>
        <w:tc>
          <w:tcPr>
            <w:tcW w:w="32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新书是否按时到馆</w:t>
            </w:r>
          </w:p>
        </w:tc>
        <w:tc>
          <w:tcPr>
            <w:tcW w:w="260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新书在2022年结束前到馆，得满</w:t>
            </w:r>
          </w:p>
          <w:p>
            <w:pPr>
              <w:pStyle w:val="6"/>
              <w:spacing w:before="8" w:line="230" w:lineRule="auto"/>
              <w:ind w:left="3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分，每超过1个月，扣权重分的20%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9" w:right="163" w:hanging="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群众都市需求满</w:t>
            </w:r>
            <w:r>
              <w:rPr>
                <w:spacing w:val="10"/>
                <w:sz w:val="15"/>
                <w:szCs w:val="15"/>
              </w:rPr>
              <w:t>足程度</w:t>
            </w:r>
          </w:p>
        </w:tc>
        <w:tc>
          <w:tcPr>
            <w:tcW w:w="11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满足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新书是否满足群众需求</w:t>
            </w:r>
          </w:p>
        </w:tc>
        <w:tc>
          <w:tcPr>
            <w:tcW w:w="260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4" w:right="9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如果图书馆用户意见反馈中存在图</w:t>
            </w:r>
            <w:r>
              <w:rPr>
                <w:spacing w:val="13"/>
                <w:sz w:val="15"/>
                <w:szCs w:val="15"/>
              </w:rPr>
              <w:t>书不足或没有想看的图书这类意</w:t>
            </w:r>
          </w:p>
          <w:p>
            <w:pPr>
              <w:pStyle w:val="6"/>
              <w:spacing w:before="8" w:line="230" w:lineRule="auto"/>
              <w:ind w:left="3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见，为不满足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群众满意度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80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群众对新书阅读是否满意</w:t>
            </w:r>
          </w:p>
        </w:tc>
        <w:tc>
          <w:tcPr>
            <w:tcW w:w="260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31" w:right="158" w:firstLine="1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图书馆服务质量评分高于80%，得满分，50-80分为权重分的一半，50%以下不得分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1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图书分馆运行经费</w:t>
            </w:r>
          </w:p>
        </w:tc>
        <w:tc>
          <w:tcPr>
            <w:tcW w:w="142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94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20.80</w:t>
            </w:r>
          </w:p>
        </w:tc>
        <w:tc>
          <w:tcPr>
            <w:tcW w:w="266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6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15个图书分馆正常运转</w:t>
            </w:r>
          </w:p>
        </w:tc>
        <w:tc>
          <w:tcPr>
            <w:tcW w:w="8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5" w:right="163" w:hanging="3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下拨图书分馆经</w:t>
            </w:r>
            <w:r>
              <w:rPr>
                <w:spacing w:val="8"/>
                <w:sz w:val="15"/>
                <w:szCs w:val="15"/>
              </w:rPr>
              <w:t>费标准</w:t>
            </w:r>
          </w:p>
        </w:tc>
        <w:tc>
          <w:tcPr>
            <w:tcW w:w="11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考察图书分馆经费情况</w:t>
            </w:r>
          </w:p>
        </w:tc>
        <w:tc>
          <w:tcPr>
            <w:tcW w:w="2608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4" w:right="108" w:hanging="3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达到标准的得满分，每少1000元，</w:t>
            </w:r>
            <w:r>
              <w:rPr>
                <w:spacing w:val="12"/>
                <w:sz w:val="15"/>
                <w:szCs w:val="15"/>
              </w:rPr>
              <w:t>扣除权重分的5%</w:t>
            </w:r>
          </w:p>
        </w:tc>
        <w:tc>
          <w:tcPr>
            <w:tcW w:w="124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7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万元/个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52" o:spid="_x0000_s1052" o:spt="202" type="#_x0000_t202" style="position:absolute;left:0pt;margin-left:1201.5pt;margin-top:13.75pt;height:13.8pt;width:21.1pt;z-index:2516879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1172.05pt;margin-top:13.75pt;height:13.8pt;width:28.5pt;z-index:2516869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1.35pt;margin-top:13.75pt;height:13.8pt;width:47.95pt;z-index:2516858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1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图书分馆运行经费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94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20.80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6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15个图书分馆正常运转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下拨分馆数量</w:t>
            </w:r>
          </w:p>
        </w:tc>
        <w:tc>
          <w:tcPr>
            <w:tcW w:w="11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2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是否按照考核结果下拨分馆经费</w:t>
            </w:r>
          </w:p>
        </w:tc>
        <w:tc>
          <w:tcPr>
            <w:tcW w:w="260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2" w:right="98" w:firstLine="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实际下拨分馆数占应下拨分馆数比</w:t>
            </w:r>
            <w:r>
              <w:rPr>
                <w:spacing w:val="12"/>
                <w:sz w:val="15"/>
                <w:szCs w:val="15"/>
              </w:rPr>
              <w:t>率剩余权重分</w:t>
            </w:r>
          </w:p>
        </w:tc>
        <w:tc>
          <w:tcPr>
            <w:tcW w:w="12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家</w:t>
            </w:r>
          </w:p>
        </w:tc>
        <w:tc>
          <w:tcPr>
            <w:tcW w:w="29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163" w:hanging="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按文件要求标准</w:t>
            </w:r>
            <w:r>
              <w:rPr>
                <w:spacing w:val="6"/>
                <w:sz w:val="15"/>
                <w:szCs w:val="15"/>
              </w:rPr>
              <w:t>下拨</w:t>
            </w:r>
          </w:p>
        </w:tc>
        <w:tc>
          <w:tcPr>
            <w:tcW w:w="115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考察图书分馆经费是否按照文件要求下拨</w:t>
            </w:r>
          </w:p>
        </w:tc>
        <w:tc>
          <w:tcPr>
            <w:tcW w:w="260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43" w:right="68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100%按照文件下拨的得满分，每下降一个百分比，扣除权重分的1%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下拨及时性</w:t>
            </w:r>
          </w:p>
        </w:tc>
        <w:tc>
          <w:tcPr>
            <w:tcW w:w="115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2024年底以前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考察经费下拨时间</w:t>
            </w:r>
          </w:p>
        </w:tc>
        <w:tc>
          <w:tcPr>
            <w:tcW w:w="2608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6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在2024年年底以前下拨得满分，每</w:t>
            </w:r>
            <w:r>
              <w:rPr>
                <w:spacing w:val="13"/>
                <w:sz w:val="15"/>
                <w:szCs w:val="15"/>
              </w:rPr>
              <w:t>推迟一个月，扣除权重分的20%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24" w:line="235" w:lineRule="auto"/>
              <w:ind w:left="30" w:right="163" w:firstLine="13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图书分馆正常运</w:t>
            </w:r>
            <w:r>
              <w:rPr>
                <w:spacing w:val="9"/>
                <w:sz w:val="15"/>
                <w:szCs w:val="15"/>
              </w:rPr>
              <w:t>行有效保障</w:t>
            </w:r>
          </w:p>
          <w:p>
            <w:pPr>
              <w:pStyle w:val="6"/>
              <w:spacing w:before="5" w:line="239" w:lineRule="auto"/>
              <w:ind w:left="27" w:right="28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考察图书分馆是</w:t>
            </w:r>
            <w:r>
              <w:rPr>
                <w:spacing w:val="8"/>
                <w:sz w:val="15"/>
                <w:szCs w:val="15"/>
              </w:rPr>
              <w:t>否正常运行图</w:t>
            </w:r>
            <w:r>
              <w:rPr>
                <w:spacing w:val="10"/>
                <w:sz w:val="15"/>
                <w:szCs w:val="15"/>
              </w:rPr>
              <w:t>书分馆均正常运行，得满分，每</w:t>
            </w:r>
            <w:r>
              <w:rPr>
                <w:spacing w:val="13"/>
                <w:sz w:val="15"/>
                <w:szCs w:val="15"/>
              </w:rPr>
              <w:t>少1个，扣除权重</w:t>
            </w:r>
            <w:r>
              <w:rPr>
                <w:spacing w:val="7"/>
                <w:sz w:val="15"/>
                <w:szCs w:val="15"/>
              </w:rPr>
              <w:t>分的8%/定性</w:t>
            </w:r>
          </w:p>
          <w:p>
            <w:pPr>
              <w:pStyle w:val="6"/>
              <w:spacing w:before="7" w:line="231" w:lineRule="auto"/>
              <w:ind w:left="568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生态效益</w:t>
            </w:r>
          </w:p>
          <w:p>
            <w:pPr>
              <w:pStyle w:val="6"/>
              <w:spacing w:before="7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指标下拨及时</w:t>
            </w:r>
          </w:p>
          <w:p>
            <w:pPr>
              <w:pStyle w:val="6"/>
              <w:spacing w:before="8" w:line="177" w:lineRule="auto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性</w:t>
            </w:r>
          </w:p>
        </w:tc>
        <w:tc>
          <w:tcPr>
            <w:tcW w:w="115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2024年底以前</w:t>
            </w:r>
          </w:p>
        </w:tc>
        <w:tc>
          <w:tcPr>
            <w:tcW w:w="320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考察经费下拨时间</w:t>
            </w:r>
          </w:p>
        </w:tc>
        <w:tc>
          <w:tcPr>
            <w:tcW w:w="260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6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在2024年年底以前下拨得满分，每</w:t>
            </w:r>
            <w:r>
              <w:rPr>
                <w:spacing w:val="13"/>
                <w:sz w:val="15"/>
                <w:szCs w:val="15"/>
              </w:rPr>
              <w:t>推迟一个月，扣除权重分的20%</w:t>
            </w:r>
          </w:p>
        </w:tc>
        <w:tc>
          <w:tcPr>
            <w:tcW w:w="124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群众满意度</w:t>
            </w:r>
          </w:p>
        </w:tc>
        <w:tc>
          <w:tcPr>
            <w:tcW w:w="11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考察群众对图书分馆的满意度</w:t>
            </w:r>
          </w:p>
        </w:tc>
        <w:tc>
          <w:tcPr>
            <w:tcW w:w="2608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15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满意度大于等于90%，得满分，每</w:t>
            </w:r>
            <w:r>
              <w:rPr>
                <w:spacing w:val="12"/>
                <w:sz w:val="15"/>
                <w:szCs w:val="15"/>
              </w:rPr>
              <w:t>少一个百分点，扣权重分的1%。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55" o:spid="_x0000_s1055" o:spt="202" type="#_x0000_t202" style="position:absolute;left:0pt;margin-left:1201.5pt;margin-top:13.75pt;height:13.8pt;width:21.1pt;z-index:2516910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1172.05pt;margin-top:13.75pt;height:13.8pt;width:28.5pt;z-index:2516899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1.35pt;margin-top:13.75pt;height:13.8pt;width:47.95pt;z-index:2516889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1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图书馆工作经费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10.00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6" w:right="165" w:hanging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开展全区图书总分馆新春系列文化</w:t>
            </w:r>
            <w:r>
              <w:rPr>
                <w:spacing w:val="10"/>
                <w:sz w:val="15"/>
                <w:szCs w:val="15"/>
              </w:rPr>
              <w:t>活动，开福区“圈圈故事会”活</w:t>
            </w:r>
          </w:p>
          <w:p>
            <w:pPr>
              <w:pStyle w:val="6"/>
              <w:spacing w:before="7" w:line="237" w:lineRule="auto"/>
              <w:ind w:left="26" w:right="165" w:hanging="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动，开福区“神奇图书馆”活动，</w:t>
            </w:r>
            <w:r>
              <w:rPr>
                <w:spacing w:val="14"/>
                <w:sz w:val="15"/>
                <w:szCs w:val="15"/>
              </w:rPr>
              <w:t>组织开展全区志愿者服务活动，全</w:t>
            </w:r>
            <w:r>
              <w:rPr>
                <w:spacing w:val="11"/>
                <w:sz w:val="15"/>
                <w:szCs w:val="15"/>
              </w:rPr>
              <w:t>民阅读系列活动。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成本节约率</w:t>
            </w:r>
          </w:p>
        </w:tc>
        <w:tc>
          <w:tcPr>
            <w:tcW w:w="115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项目执行过程中，是否有效节约实施成本</w:t>
            </w:r>
          </w:p>
        </w:tc>
        <w:tc>
          <w:tcPr>
            <w:tcW w:w="260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83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成本节约率大于0得满分，等于0等权重分的一半，小于0不得分</w:t>
            </w:r>
          </w:p>
        </w:tc>
        <w:tc>
          <w:tcPr>
            <w:tcW w:w="12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8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&gt;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读书活动场次</w:t>
            </w:r>
          </w:p>
        </w:tc>
        <w:tc>
          <w:tcPr>
            <w:tcW w:w="115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2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全年组织读书活动和培训的次数</w:t>
            </w:r>
          </w:p>
        </w:tc>
        <w:tc>
          <w:tcPr>
            <w:tcW w:w="26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每少一场，扣除10%的权重分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3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场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活动验收通过率</w:t>
            </w:r>
          </w:p>
        </w:tc>
        <w:tc>
          <w:tcPr>
            <w:tcW w:w="115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全年组织的读书活动是否全部验收通过</w:t>
            </w:r>
          </w:p>
        </w:tc>
        <w:tc>
          <w:tcPr>
            <w:tcW w:w="260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7" w:right="8" w:hanging="6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验收通过率大于0得满分，每少一分</w:t>
            </w:r>
            <w:r>
              <w:rPr>
                <w:spacing w:val="12"/>
                <w:sz w:val="15"/>
                <w:szCs w:val="15"/>
              </w:rPr>
              <w:t>百分点，扣除权重分的1%。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活动完成及时率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是否按照年初活动计划组织举办活动</w:t>
            </w:r>
          </w:p>
        </w:tc>
        <w:tc>
          <w:tcPr>
            <w:tcW w:w="260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2" w:right="158" w:hanging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每少一场，扣除权重分的10%，直</w:t>
            </w:r>
            <w:r>
              <w:rPr>
                <w:spacing w:val="10"/>
                <w:sz w:val="15"/>
                <w:szCs w:val="15"/>
              </w:rPr>
              <w:t>至0分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成本节约率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项目执行过程中，是否有效节约实施成本</w:t>
            </w:r>
          </w:p>
        </w:tc>
        <w:tc>
          <w:tcPr>
            <w:tcW w:w="260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83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成本节约率大于0得满分，等于0等权重分的一半，小于0不得分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8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&gt;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58" o:spid="_x0000_s1058" o:spt="202" type="#_x0000_t202" style="position:absolute;left:0pt;margin-left:1201.5pt;margin-top:13.75pt;height:13.8pt;width:21.1pt;z-index:2516940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1172.05pt;margin-top:13.75pt;height:13.8pt;width:28.5pt;z-index:2516930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1.35pt;margin-top:13.75pt;height:13.8pt;width:47.95pt;z-index:2516920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1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图书馆工作经费</w:t>
            </w:r>
          </w:p>
        </w:tc>
        <w:tc>
          <w:tcPr>
            <w:tcW w:w="142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10.00</w:t>
            </w:r>
          </w:p>
        </w:tc>
        <w:tc>
          <w:tcPr>
            <w:tcW w:w="2668" w:type="dxa"/>
            <w:vAlign w:val="top"/>
          </w:tcPr>
          <w:p>
            <w:pPr>
              <w:pStyle w:val="6"/>
              <w:spacing w:before="194" w:line="235" w:lineRule="auto"/>
              <w:ind w:left="26" w:right="165" w:hanging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开展全区图书总分馆新春系列文化</w:t>
            </w:r>
            <w:r>
              <w:rPr>
                <w:spacing w:val="10"/>
                <w:sz w:val="15"/>
                <w:szCs w:val="15"/>
              </w:rPr>
              <w:t>活动，开福区“圈圈故事会”活</w:t>
            </w:r>
          </w:p>
          <w:p>
            <w:pPr>
              <w:pStyle w:val="6"/>
              <w:spacing w:before="7" w:line="237" w:lineRule="auto"/>
              <w:ind w:left="26" w:right="165" w:hanging="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动，开福区“神奇图书馆”活动，</w:t>
            </w:r>
            <w:r>
              <w:rPr>
                <w:spacing w:val="14"/>
                <w:sz w:val="15"/>
                <w:szCs w:val="15"/>
              </w:rPr>
              <w:t>组织开展全区志愿者服务活动，全</w:t>
            </w:r>
            <w:r>
              <w:rPr>
                <w:spacing w:val="11"/>
                <w:sz w:val="15"/>
                <w:szCs w:val="15"/>
              </w:rPr>
              <w:t>民阅读系列活动。</w:t>
            </w:r>
          </w:p>
        </w:tc>
        <w:tc>
          <w:tcPr>
            <w:tcW w:w="855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群众满意度</w:t>
            </w:r>
          </w:p>
        </w:tc>
        <w:tc>
          <w:tcPr>
            <w:tcW w:w="115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群众对读书文化活动的满意度</w:t>
            </w:r>
          </w:p>
        </w:tc>
        <w:tc>
          <w:tcPr>
            <w:tcW w:w="260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群众满意度大于等于90%，得满</w:t>
            </w:r>
          </w:p>
          <w:p>
            <w:pPr>
              <w:pStyle w:val="6"/>
              <w:spacing w:before="8" w:line="244" w:lineRule="auto"/>
              <w:ind w:left="42" w:right="98" w:hanging="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分，每少一个百分点，扣除权重分</w:t>
            </w:r>
            <w:r>
              <w:rPr>
                <w:sz w:val="15"/>
                <w:szCs w:val="15"/>
              </w:rPr>
              <w:t>1%。</w:t>
            </w:r>
          </w:p>
        </w:tc>
        <w:tc>
          <w:tcPr>
            <w:tcW w:w="12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文化馆工作经费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10.00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文化馆工作经费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成本节约率</w:t>
            </w:r>
          </w:p>
        </w:tc>
        <w:tc>
          <w:tcPr>
            <w:tcW w:w="11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2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考察项目执行过程中是否有效节约实施成本</w:t>
            </w:r>
          </w:p>
        </w:tc>
        <w:tc>
          <w:tcPr>
            <w:tcW w:w="260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2" w:right="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成本节约率大于得满分，等于0的权</w:t>
            </w:r>
            <w:r>
              <w:rPr>
                <w:spacing w:val="13"/>
                <w:sz w:val="15"/>
                <w:szCs w:val="15"/>
              </w:rPr>
              <w:t>重分的一半，小于0不得分</w:t>
            </w:r>
          </w:p>
        </w:tc>
        <w:tc>
          <w:tcPr>
            <w:tcW w:w="12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8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&gt;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免费培训场次</w:t>
            </w:r>
          </w:p>
        </w:tc>
        <w:tc>
          <w:tcPr>
            <w:tcW w:w="115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31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50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文化免费培训次数</w:t>
            </w:r>
          </w:p>
        </w:tc>
        <w:tc>
          <w:tcPr>
            <w:tcW w:w="26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每少组织1场培训，扣除权重分2%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3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节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免费培训完成率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是否全部按照计划完成免费培训课程</w:t>
            </w:r>
          </w:p>
        </w:tc>
        <w:tc>
          <w:tcPr>
            <w:tcW w:w="260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44" w:right="8" w:hanging="1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未按计划完成1场培训，扣除权重分</w:t>
            </w:r>
            <w:r>
              <w:rPr>
                <w:spacing w:val="5"/>
                <w:sz w:val="15"/>
                <w:szCs w:val="15"/>
              </w:rPr>
              <w:t>的2%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免费培训及时率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是否按照年初计划时间完成全部培训</w:t>
            </w:r>
          </w:p>
        </w:tc>
        <w:tc>
          <w:tcPr>
            <w:tcW w:w="2608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2" w:right="8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未按约定时间完成1场培训，扣除权</w:t>
            </w:r>
            <w:r>
              <w:rPr>
                <w:spacing w:val="11"/>
                <w:sz w:val="15"/>
                <w:szCs w:val="15"/>
              </w:rPr>
              <w:t>重分的2%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社会成本指标率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考察项目执行过程中是否有效节约社会成本</w:t>
            </w:r>
          </w:p>
        </w:tc>
        <w:tc>
          <w:tcPr>
            <w:tcW w:w="260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43" w:right="13" w:hanging="1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社会成本节约率大于得满分，等于0的权重分的一半，小于0不得分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61" o:spid="_x0000_s1061" o:spt="202" type="#_x0000_t202" style="position:absolute;left:0pt;margin-left:1201.5pt;margin-top:13.75pt;height:13.8pt;width:21.1pt;z-index:2516971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1172.05pt;margin-top:13.75pt;height:13.8pt;width:28.5pt;z-index:2516961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1.35pt;margin-top:13.75pt;height:13.8pt;width:47.95pt;z-index:2516951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文化馆工作经费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10.00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文化馆工作经费</w:t>
            </w:r>
          </w:p>
        </w:tc>
        <w:tc>
          <w:tcPr>
            <w:tcW w:w="8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5" w:right="163" w:hanging="6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持续文化惠民免</w:t>
            </w:r>
            <w:r>
              <w:rPr>
                <w:spacing w:val="8"/>
                <w:sz w:val="15"/>
                <w:szCs w:val="15"/>
              </w:rPr>
              <w:t>费开放</w:t>
            </w:r>
          </w:p>
        </w:tc>
        <w:tc>
          <w:tcPr>
            <w:tcW w:w="115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95</w:t>
            </w:r>
          </w:p>
        </w:tc>
        <w:tc>
          <w:tcPr>
            <w:tcW w:w="3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全年文化惠民免费开放的时间</w:t>
            </w:r>
          </w:p>
        </w:tc>
        <w:tc>
          <w:tcPr>
            <w:tcW w:w="260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43" w:right="13" w:hanging="1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社会成本节约率大于得满分，等于0的权重分的一半，小于0不得分</w:t>
            </w:r>
          </w:p>
        </w:tc>
        <w:tc>
          <w:tcPr>
            <w:tcW w:w="12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群众满意度</w:t>
            </w:r>
          </w:p>
        </w:tc>
        <w:tc>
          <w:tcPr>
            <w:tcW w:w="115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参与课程的群众对课程内容的满意程度</w:t>
            </w:r>
          </w:p>
        </w:tc>
        <w:tc>
          <w:tcPr>
            <w:tcW w:w="260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2" w:right="98" w:hanging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群众对免费培训课程的满意度大于等于90%得满分，每少一个百分</w:t>
            </w:r>
          </w:p>
          <w:p>
            <w:pPr>
              <w:pStyle w:val="6"/>
              <w:spacing w:before="8" w:line="230" w:lineRule="auto"/>
              <w:ind w:left="3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点，扣权重分的1%</w:t>
            </w:r>
          </w:p>
        </w:tc>
        <w:tc>
          <w:tcPr>
            <w:tcW w:w="124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  <w:tc>
          <w:tcPr>
            <w:tcW w:w="29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2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文旅工作经费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94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5" w:right="165" w:firstLine="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公共文化服务与文旅融合提升行动</w:t>
            </w:r>
            <w:r>
              <w:rPr>
                <w:spacing w:val="8"/>
                <w:sz w:val="15"/>
                <w:szCs w:val="15"/>
              </w:rPr>
              <w:t>经费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社会成本指标率</w:t>
            </w:r>
          </w:p>
        </w:tc>
        <w:tc>
          <w:tcPr>
            <w:tcW w:w="11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2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考察项目执行过程中是否有效节约社会成本</w:t>
            </w:r>
          </w:p>
        </w:tc>
        <w:tc>
          <w:tcPr>
            <w:tcW w:w="260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43" w:right="13" w:hanging="1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社会成本节约率大于得满分，等于0的权重分的一半，小于0不得分</w:t>
            </w:r>
          </w:p>
        </w:tc>
        <w:tc>
          <w:tcPr>
            <w:tcW w:w="12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163" w:hanging="4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举办文旅活动场</w:t>
            </w:r>
            <w:r>
              <w:rPr>
                <w:sz w:val="15"/>
                <w:szCs w:val="15"/>
              </w:rPr>
              <w:t>次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举办文旅活动场次</w:t>
            </w:r>
          </w:p>
        </w:tc>
        <w:tc>
          <w:tcPr>
            <w:tcW w:w="260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2" w:right="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完成1场文旅活动得满分，没完成得</w:t>
            </w:r>
            <w:r>
              <w:rPr>
                <w:spacing w:val="8"/>
                <w:sz w:val="15"/>
                <w:szCs w:val="15"/>
              </w:rPr>
              <w:t>0分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3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场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163" w:hanging="4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举办文旅活动场</w:t>
            </w:r>
            <w:r>
              <w:rPr>
                <w:spacing w:val="10"/>
                <w:sz w:val="15"/>
                <w:szCs w:val="15"/>
              </w:rPr>
              <w:t>次完成率</w:t>
            </w:r>
          </w:p>
        </w:tc>
        <w:tc>
          <w:tcPr>
            <w:tcW w:w="11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40"/>
              <w:rPr>
                <w:sz w:val="15"/>
                <w:szCs w:val="15"/>
              </w:rPr>
            </w:pPr>
            <w:r>
              <w:rPr>
                <w:spacing w:val="7"/>
                <w:position w:val="1"/>
                <w:sz w:val="15"/>
                <w:szCs w:val="15"/>
              </w:rPr>
              <w:t>100%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是否圆满完成文旅活动在举办</w:t>
            </w:r>
          </w:p>
        </w:tc>
        <w:tc>
          <w:tcPr>
            <w:tcW w:w="2608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2" w:right="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完成1场文旅活动得满分，没完成得</w:t>
            </w:r>
            <w:r>
              <w:rPr>
                <w:spacing w:val="8"/>
                <w:sz w:val="15"/>
                <w:szCs w:val="15"/>
              </w:rPr>
              <w:t>0分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3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场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9" w:right="13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2024年年底完成</w:t>
            </w:r>
            <w:r>
              <w:rPr>
                <w:spacing w:val="12"/>
                <w:sz w:val="15"/>
                <w:szCs w:val="15"/>
              </w:rPr>
              <w:t>一场文旅活动</w:t>
            </w:r>
          </w:p>
        </w:tc>
        <w:tc>
          <w:tcPr>
            <w:tcW w:w="115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6" w:lineRule="auto"/>
              <w:ind w:left="29" w:right="10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2024年年底完</w:t>
            </w:r>
            <w:r>
              <w:rPr>
                <w:spacing w:val="1"/>
                <w:sz w:val="15"/>
                <w:szCs w:val="15"/>
              </w:rPr>
              <w:t>成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是否按照年初计划时间完成</w:t>
            </w:r>
          </w:p>
        </w:tc>
        <w:tc>
          <w:tcPr>
            <w:tcW w:w="260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2" w:right="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完成1场文旅活动得满分，没完成得</w:t>
            </w:r>
            <w:r>
              <w:rPr>
                <w:spacing w:val="8"/>
                <w:sz w:val="15"/>
                <w:szCs w:val="15"/>
              </w:rPr>
              <w:t>0分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3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场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8" w:right="16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经济效益完成指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20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0" w:right="40" w:hanging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考察项目执行过程中是否有效节约经济效益</w:t>
            </w:r>
            <w:r>
              <w:rPr>
                <w:spacing w:val="8"/>
                <w:sz w:val="15"/>
                <w:szCs w:val="15"/>
              </w:rPr>
              <w:t>成本</w:t>
            </w:r>
          </w:p>
        </w:tc>
        <w:tc>
          <w:tcPr>
            <w:tcW w:w="260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2" w:right="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经济效益率大于得满分，等于0的权</w:t>
            </w:r>
            <w:r>
              <w:rPr>
                <w:spacing w:val="13"/>
                <w:sz w:val="15"/>
                <w:szCs w:val="15"/>
              </w:rPr>
              <w:t>重分的一半，小于0不得分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3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场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64" o:spid="_x0000_s1064" o:spt="202" type="#_x0000_t202" style="position:absolute;left:0pt;margin-left:1201.5pt;margin-top:13.75pt;height:13.8pt;width:21.1pt;z-index:2517002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1172.05pt;margin-top:13.75pt;height:13.8pt;width:28.5pt;z-index:2516992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1.35pt;margin-top:13.75pt;height:13.8pt;width:47.95pt;z-index:2516981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2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文旅工作经费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94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5" w:right="165" w:firstLine="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公共文化服务与文旅融合提升行动</w:t>
            </w:r>
            <w:r>
              <w:rPr>
                <w:spacing w:val="8"/>
                <w:sz w:val="15"/>
                <w:szCs w:val="15"/>
              </w:rPr>
              <w:t>经费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群众满意度</w:t>
            </w:r>
          </w:p>
        </w:tc>
        <w:tc>
          <w:tcPr>
            <w:tcW w:w="11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参与活动的群众对活动内容的满意程度</w:t>
            </w:r>
          </w:p>
        </w:tc>
        <w:tc>
          <w:tcPr>
            <w:tcW w:w="2608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1" w:right="98" w:firstLine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参与活动的群众对活动内容的满意</w:t>
            </w:r>
            <w:r>
              <w:rPr>
                <w:spacing w:val="9"/>
                <w:sz w:val="15"/>
                <w:szCs w:val="15"/>
              </w:rPr>
              <w:t>程度</w:t>
            </w:r>
          </w:p>
        </w:tc>
        <w:tc>
          <w:tcPr>
            <w:tcW w:w="12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文物保护工作经费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941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38.00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24" w:right="165" w:firstLine="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强化文物安全，加强日常巡查，开</w:t>
            </w:r>
            <w:r>
              <w:rPr>
                <w:spacing w:val="14"/>
                <w:sz w:val="15"/>
                <w:szCs w:val="15"/>
              </w:rPr>
              <w:t>展文物古建筑消防安全专项检查，</w:t>
            </w:r>
            <w:r>
              <w:rPr>
                <w:spacing w:val="12"/>
                <w:sz w:val="15"/>
                <w:szCs w:val="15"/>
              </w:rPr>
              <w:t>确保全年文物安全零事故。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8" w:right="163" w:firstLine="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不可移动文物保</w:t>
            </w:r>
            <w:r>
              <w:rPr>
                <w:spacing w:val="13"/>
                <w:sz w:val="15"/>
                <w:szCs w:val="15"/>
              </w:rPr>
              <w:t>护经费平均标准</w:t>
            </w:r>
          </w:p>
        </w:tc>
        <w:tc>
          <w:tcPr>
            <w:tcW w:w="115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8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4200</w:t>
            </w:r>
          </w:p>
        </w:tc>
        <w:tc>
          <w:tcPr>
            <w:tcW w:w="32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考察不可移动文物保护经费平均标准</w:t>
            </w:r>
          </w:p>
        </w:tc>
        <w:tc>
          <w:tcPr>
            <w:tcW w:w="260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42" w:right="263" w:hanging="1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按照标准下拨得满分，低于标准</w:t>
            </w:r>
            <w:r>
              <w:rPr>
                <w:spacing w:val="12"/>
                <w:sz w:val="15"/>
                <w:szCs w:val="15"/>
              </w:rPr>
              <w:t>100元，扣除权重分10%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元/个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8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保障文物点数量</w:t>
            </w:r>
          </w:p>
        </w:tc>
        <w:tc>
          <w:tcPr>
            <w:tcW w:w="11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124</w:t>
            </w:r>
          </w:p>
        </w:tc>
        <w:tc>
          <w:tcPr>
            <w:tcW w:w="32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保障文物保护工作的文物点数量</w:t>
            </w:r>
          </w:p>
        </w:tc>
        <w:tc>
          <w:tcPr>
            <w:tcW w:w="260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98" w:firstLine="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实际保障的文物点数占总数的比例</w:t>
            </w:r>
            <w:r>
              <w:rPr>
                <w:spacing w:val="12"/>
                <w:sz w:val="15"/>
                <w:szCs w:val="15"/>
              </w:rPr>
              <w:t>乘以权重分值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0" w:right="163" w:firstLine="2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下拨经费符合相关文件规定比率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考察经费示范按照文件规定下拨</w:t>
            </w:r>
          </w:p>
        </w:tc>
        <w:tc>
          <w:tcPr>
            <w:tcW w:w="2608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1" w:right="68" w:firstLine="1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比率为100%，得满分，比率每少一</w:t>
            </w:r>
            <w:r>
              <w:rPr>
                <w:spacing w:val="13"/>
                <w:sz w:val="15"/>
                <w:szCs w:val="15"/>
              </w:rPr>
              <w:t>个百分点扣除权重分的1%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下拨经费及时性</w:t>
            </w:r>
          </w:p>
        </w:tc>
        <w:tc>
          <w:tcPr>
            <w:tcW w:w="115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0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2024年年底前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考察经费下拨时间</w:t>
            </w:r>
          </w:p>
        </w:tc>
        <w:tc>
          <w:tcPr>
            <w:tcW w:w="260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3" w:right="68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2024年年底前下拨得满分，每超过</w:t>
            </w:r>
            <w:r>
              <w:rPr>
                <w:spacing w:val="13"/>
                <w:sz w:val="15"/>
                <w:szCs w:val="15"/>
              </w:rPr>
              <w:t>一个月扣权重分的20%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67" o:spid="_x0000_s1067" o:spt="202" type="#_x0000_t202" style="position:absolute;left:0pt;margin-left:1201.5pt;margin-top:13.75pt;height:13.8pt;width:21.1pt;z-index:2517032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1172.05pt;margin-top:13.75pt;height:13.8pt;width:28.5pt;z-index:2517022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1.35pt;margin-top:13.75pt;height:13.8pt;width:47.95pt;z-index:2517012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0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文物保护工作经费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191" w:lineRule="auto"/>
              <w:ind w:left="941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38.00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7" w:lineRule="auto"/>
              <w:ind w:left="24" w:right="165" w:firstLine="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强化文物安全，加强日常巡查，开</w:t>
            </w:r>
            <w:r>
              <w:rPr>
                <w:spacing w:val="14"/>
                <w:sz w:val="15"/>
                <w:szCs w:val="15"/>
              </w:rPr>
              <w:t>展文物古建筑消防安全专项检查，</w:t>
            </w:r>
            <w:r>
              <w:rPr>
                <w:spacing w:val="12"/>
                <w:sz w:val="15"/>
                <w:szCs w:val="15"/>
              </w:rPr>
              <w:t>确保全年文物安全零事故。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8" w:right="16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保障文物修缮保</w:t>
            </w:r>
            <w:r>
              <w:rPr>
                <w:spacing w:val="10"/>
                <w:sz w:val="15"/>
                <w:szCs w:val="15"/>
              </w:rPr>
              <w:t>护工作</w:t>
            </w:r>
          </w:p>
        </w:tc>
        <w:tc>
          <w:tcPr>
            <w:tcW w:w="115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有效保障</w:t>
            </w:r>
          </w:p>
        </w:tc>
        <w:tc>
          <w:tcPr>
            <w:tcW w:w="3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各个文物点修缮保护是否良好</w:t>
            </w:r>
          </w:p>
        </w:tc>
        <w:tc>
          <w:tcPr>
            <w:tcW w:w="26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根据区级考核结果评定。</w:t>
            </w:r>
          </w:p>
        </w:tc>
        <w:tc>
          <w:tcPr>
            <w:tcW w:w="12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  <w:tc>
          <w:tcPr>
            <w:tcW w:w="29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8" w:right="163" w:hanging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服务对象满意度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15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群众对文物点保护工作的满意度</w:t>
            </w:r>
          </w:p>
        </w:tc>
        <w:tc>
          <w:tcPr>
            <w:tcW w:w="26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根据区级考核结果评定</w:t>
            </w:r>
          </w:p>
        </w:tc>
        <w:tc>
          <w:tcPr>
            <w:tcW w:w="12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50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0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有线数字电视服务费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12.60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7" w:lineRule="auto"/>
              <w:ind w:left="24" w:right="165" w:firstLine="1"/>
              <w:jc w:val="both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按市局要求，按时支付政府采购合同款项，切实保障我区困难群众家</w:t>
            </w:r>
            <w:r>
              <w:rPr>
                <w:spacing w:val="13"/>
                <w:sz w:val="15"/>
                <w:szCs w:val="15"/>
              </w:rPr>
              <w:t>庭有线数字电视基本收视服务。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97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7" w:lineRule="auto"/>
              <w:ind w:left="28" w:right="163"/>
              <w:jc w:val="both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有线数字电视基本收视服务费用</w:t>
            </w:r>
            <w:r>
              <w:rPr>
                <w:spacing w:val="8"/>
                <w:sz w:val="15"/>
                <w:szCs w:val="15"/>
              </w:rPr>
              <w:t>标准</w:t>
            </w:r>
          </w:p>
        </w:tc>
        <w:tc>
          <w:tcPr>
            <w:tcW w:w="115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考察有线数字电视基本收视服务支持标准</w:t>
            </w:r>
          </w:p>
        </w:tc>
        <w:tc>
          <w:tcPr>
            <w:tcW w:w="26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每少支付1%，扣除权重分1%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元/年/户</w:t>
            </w:r>
          </w:p>
        </w:tc>
        <w:tc>
          <w:tcPr>
            <w:tcW w:w="293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社会成本指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生态环境成</w:t>
            </w:r>
            <w:r>
              <w:rPr>
                <w:spacing w:val="10"/>
                <w:sz w:val="15"/>
                <w:szCs w:val="15"/>
              </w:rPr>
              <w:t>本指标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34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28" w:right="163"/>
              <w:jc w:val="both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有线数字电视基本收视服务家庭</w:t>
            </w:r>
            <w:r>
              <w:rPr>
                <w:spacing w:val="2"/>
                <w:sz w:val="15"/>
                <w:szCs w:val="15"/>
              </w:rPr>
              <w:t>数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6490</w:t>
            </w:r>
          </w:p>
        </w:tc>
        <w:tc>
          <w:tcPr>
            <w:tcW w:w="320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40" w:hanging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考察有线数字电视基本收视服务家庭数量情</w:t>
            </w:r>
            <w:r>
              <w:rPr>
                <w:spacing w:val="1"/>
                <w:sz w:val="15"/>
                <w:szCs w:val="15"/>
              </w:rPr>
              <w:t>况</w:t>
            </w:r>
          </w:p>
        </w:tc>
        <w:tc>
          <w:tcPr>
            <w:tcW w:w="26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每少服务1%，扣除权重分1%。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户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27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34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27" w:right="163"/>
              <w:jc w:val="both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有限数字电视基本收视服务验收</w:t>
            </w:r>
            <w:r>
              <w:rPr>
                <w:spacing w:val="10"/>
                <w:sz w:val="15"/>
                <w:szCs w:val="15"/>
              </w:rPr>
              <w:t>通过率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9" w:right="4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考察有线数字电视基本收视服务项目验收通</w:t>
            </w:r>
            <w:r>
              <w:rPr>
                <w:spacing w:val="10"/>
                <w:sz w:val="15"/>
                <w:szCs w:val="15"/>
              </w:rPr>
              <w:t>过情况</w:t>
            </w:r>
          </w:p>
        </w:tc>
        <w:tc>
          <w:tcPr>
            <w:tcW w:w="2608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3" w:right="8" w:hanging="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验收通过率少1个百分点，扣除权重</w:t>
            </w:r>
            <w:r>
              <w:rPr>
                <w:spacing w:val="10"/>
                <w:sz w:val="15"/>
                <w:szCs w:val="15"/>
              </w:rPr>
              <w:t>分的1%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34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27" w:right="163"/>
              <w:jc w:val="both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有线电视非服务基本收视服务及</w:t>
            </w:r>
            <w:r>
              <w:rPr>
                <w:spacing w:val="8"/>
                <w:sz w:val="15"/>
                <w:szCs w:val="15"/>
              </w:rPr>
              <w:t>时性</w:t>
            </w:r>
          </w:p>
        </w:tc>
        <w:tc>
          <w:tcPr>
            <w:tcW w:w="11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100</w:t>
            </w:r>
          </w:p>
        </w:tc>
        <w:tc>
          <w:tcPr>
            <w:tcW w:w="3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考察有线数字电视基本收视服务的完成时间</w:t>
            </w:r>
          </w:p>
        </w:tc>
        <w:tc>
          <w:tcPr>
            <w:tcW w:w="2608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按照合同要求按期完成的得满分，</w:t>
            </w:r>
          </w:p>
          <w:p>
            <w:pPr>
              <w:pStyle w:val="6"/>
              <w:spacing w:before="7" w:line="236" w:lineRule="auto"/>
              <w:ind w:left="33" w:right="8" w:hanging="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及时性每降低1个百分点，扣除权重</w:t>
            </w:r>
            <w:r>
              <w:rPr>
                <w:spacing w:val="10"/>
                <w:sz w:val="15"/>
                <w:szCs w:val="15"/>
              </w:rPr>
              <w:t>分的1%</w:t>
            </w:r>
          </w:p>
        </w:tc>
        <w:tc>
          <w:tcPr>
            <w:tcW w:w="12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215" w:bottom="0" w:left="547" w:header="0" w:footer="0" w:gutter="0"/>
          <w:cols w:space="720" w:num="1"/>
        </w:sectPr>
      </w:pPr>
    </w:p>
    <w:p>
      <w:pPr>
        <w:spacing w:before="63" w:line="225" w:lineRule="auto"/>
        <w:ind w:left="102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2024年项目支出绩效目标表</w:t>
      </w:r>
    </w:p>
    <w:p>
      <w:pPr>
        <w:spacing w:before="13"/>
      </w:pPr>
    </w:p>
    <w:p>
      <w:pPr>
        <w:sectPr>
          <w:pgSz w:w="25229" w:h="18256"/>
          <w:pgMar w:top="1011" w:right="215" w:bottom="0" w:left="547" w:header="0" w:footer="0" w:gutter="0"/>
          <w:cols w:equalWidth="0" w:num="1">
            <w:col w:w="24465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25229" w:h="18256"/>
          <w:pgMar w:top="1011" w:right="215" w:bottom="0" w:left="547" w:header="0" w:footer="0" w:gutter="0"/>
          <w:cols w:equalWidth="0" w:num="2">
            <w:col w:w="23362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244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208"/>
        <w:gridCol w:w="1424"/>
        <w:gridCol w:w="2668"/>
        <w:gridCol w:w="855"/>
        <w:gridCol w:w="974"/>
        <w:gridCol w:w="1349"/>
        <w:gridCol w:w="1154"/>
        <w:gridCol w:w="3208"/>
        <w:gridCol w:w="2608"/>
        <w:gridCol w:w="1244"/>
        <w:gridCol w:w="2938"/>
        <w:gridCol w:w="16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9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单位编码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单位（项目）名称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3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资金总额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9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绩效目标</w:t>
            </w:r>
          </w:p>
        </w:tc>
        <w:tc>
          <w:tcPr>
            <w:tcW w:w="15972" w:type="dxa"/>
            <w:gridSpan w:val="9"/>
            <w:vAlign w:val="top"/>
          </w:tcPr>
          <w:p>
            <w:pPr>
              <w:pStyle w:val="6"/>
              <w:spacing w:before="152" w:line="220" w:lineRule="auto"/>
              <w:ind w:left="7620"/>
            </w:pPr>
            <w:r>
              <w:rPr>
                <w:spacing w:val="-3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spacing w:before="189" w:line="229" w:lineRule="auto"/>
              <w:ind w:left="3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一级指标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89" w:line="229" w:lineRule="auto"/>
              <w:ind w:left="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二级指标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89" w:line="229" w:lineRule="auto"/>
              <w:ind w:left="28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三级指标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before="188" w:line="229" w:lineRule="auto"/>
              <w:ind w:left="28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</w:t>
            </w:r>
          </w:p>
        </w:tc>
        <w:tc>
          <w:tcPr>
            <w:tcW w:w="3208" w:type="dxa"/>
            <w:vAlign w:val="top"/>
          </w:tcPr>
          <w:p>
            <w:pPr>
              <w:pStyle w:val="6"/>
              <w:spacing w:before="188" w:line="229" w:lineRule="auto"/>
              <w:ind w:left="1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指标值内容</w:t>
            </w:r>
          </w:p>
        </w:tc>
        <w:tc>
          <w:tcPr>
            <w:tcW w:w="2608" w:type="dxa"/>
            <w:vAlign w:val="top"/>
          </w:tcPr>
          <w:p>
            <w:pPr>
              <w:pStyle w:val="6"/>
              <w:spacing w:before="189" w:line="229" w:lineRule="auto"/>
              <w:ind w:left="6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评（扣）分标准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9" w:lineRule="auto"/>
              <w:ind w:left="22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度量单位</w:t>
            </w:r>
          </w:p>
        </w:tc>
        <w:tc>
          <w:tcPr>
            <w:tcW w:w="2938" w:type="dxa"/>
            <w:vAlign w:val="top"/>
          </w:tcPr>
          <w:p>
            <w:pPr>
              <w:pStyle w:val="6"/>
              <w:spacing w:before="188" w:line="229" w:lineRule="auto"/>
              <w:ind w:left="98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指标值类型</w:t>
            </w:r>
          </w:p>
        </w:tc>
        <w:tc>
          <w:tcPr>
            <w:tcW w:w="1642" w:type="dxa"/>
            <w:vAlign w:val="top"/>
          </w:tcPr>
          <w:p>
            <w:pPr>
              <w:pStyle w:val="6"/>
              <w:spacing w:before="189" w:line="230" w:lineRule="auto"/>
              <w:ind w:left="6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1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202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有线数字电视服务费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192" w:lineRule="auto"/>
              <w:ind w:left="950"/>
              <w:rPr>
                <w:sz w:val="15"/>
                <w:szCs w:val="15"/>
              </w:rPr>
            </w:pPr>
            <w:r>
              <w:rPr>
                <w:spacing w:val="9"/>
                <w:sz w:val="15"/>
                <w:szCs w:val="15"/>
              </w:rPr>
              <w:t>12.60</w:t>
            </w:r>
          </w:p>
        </w:tc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7" w:lineRule="auto"/>
              <w:ind w:left="24" w:right="165" w:firstLine="1"/>
              <w:jc w:val="both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按市局要求，按时支付政府采购合同款项，切实保障我区困难群众家</w:t>
            </w:r>
            <w:r>
              <w:rPr>
                <w:spacing w:val="13"/>
                <w:sz w:val="15"/>
                <w:szCs w:val="15"/>
              </w:rPr>
              <w:t>庭有线数字电视基本收视服务。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9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经济效益指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社会效益指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7" w:lineRule="auto"/>
              <w:ind w:left="27" w:right="163" w:firstLine="1"/>
              <w:jc w:val="both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提高特殊群体家庭免费收看数字</w:t>
            </w:r>
            <w:r>
              <w:rPr>
                <w:spacing w:val="12"/>
                <w:sz w:val="15"/>
                <w:szCs w:val="15"/>
              </w:rPr>
              <w:t>电视的情况</w:t>
            </w:r>
          </w:p>
        </w:tc>
        <w:tc>
          <w:tcPr>
            <w:tcW w:w="115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有效保障</w:t>
            </w:r>
          </w:p>
        </w:tc>
        <w:tc>
          <w:tcPr>
            <w:tcW w:w="32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考察特殊群体家庭年费收看数字电视的情况</w:t>
            </w:r>
          </w:p>
        </w:tc>
        <w:tc>
          <w:tcPr>
            <w:tcW w:w="2608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32" w:right="223" w:hanging="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全部特殊群体家庭均可收看得满</w:t>
            </w:r>
            <w:r>
              <w:rPr>
                <w:spacing w:val="13"/>
                <w:sz w:val="15"/>
                <w:szCs w:val="15"/>
              </w:rPr>
              <w:t>分，少1户，扣除权重分的0.05%</w:t>
            </w:r>
          </w:p>
        </w:tc>
        <w:tc>
          <w:tcPr>
            <w:tcW w:w="124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9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生态效益指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7" w:right="119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可持续影响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6" w:right="16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97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0" w:right="119" w:hanging="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服务对象满</w:t>
            </w:r>
            <w:r>
              <w:rPr>
                <w:spacing w:val="10"/>
                <w:sz w:val="15"/>
                <w:szCs w:val="15"/>
              </w:rPr>
              <w:t>意度指标</w:t>
            </w:r>
          </w:p>
        </w:tc>
        <w:tc>
          <w:tcPr>
            <w:tcW w:w="13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27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特殊群体满意度</w:t>
            </w:r>
          </w:p>
        </w:tc>
        <w:tc>
          <w:tcPr>
            <w:tcW w:w="11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320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29" w:right="40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考察特殊群特家庭成员对该项服务的满意程</w:t>
            </w:r>
            <w:r>
              <w:rPr>
                <w:spacing w:val="3"/>
                <w:sz w:val="15"/>
                <w:szCs w:val="15"/>
              </w:rPr>
              <w:t>度</w:t>
            </w:r>
          </w:p>
        </w:tc>
        <w:tc>
          <w:tcPr>
            <w:tcW w:w="260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44" w:lineRule="auto"/>
              <w:ind w:left="27" w:right="73" w:firstLine="4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满意度大于90%的满分，满意度每下降1个百分点，扣除权重分的0.1</w:t>
            </w:r>
            <w:r>
              <w:rPr>
                <w:spacing w:val="2"/>
                <w:sz w:val="15"/>
                <w:szCs w:val="15"/>
              </w:rPr>
              <w:t>%</w:t>
            </w:r>
          </w:p>
        </w:tc>
        <w:tc>
          <w:tcPr>
            <w:tcW w:w="12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29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9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8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定量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3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注：本表反映部门本年度的项目支出绩效目标具体情况。本表金额转换为万元时，因四舍五入</w:t>
      </w:r>
      <w:r>
        <w:rPr>
          <w:rFonts w:ascii="宋体" w:hAnsi="宋体" w:eastAsia="宋体" w:cs="宋体"/>
          <w:spacing w:val="-1"/>
          <w:sz w:val="18"/>
          <w:szCs w:val="18"/>
        </w:rPr>
        <w:t>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25229" w:h="18256"/>
          <w:pgMar w:top="1011" w:right="215" w:bottom="0" w:left="547" w:header="0" w:footer="0" w:gutter="0"/>
          <w:cols w:equalWidth="0" w:num="1">
            <w:col w:w="24465"/>
          </w:cols>
        </w:sectPr>
      </w:pPr>
    </w:p>
    <w:p>
      <w:pPr>
        <w:spacing w:before="63" w:line="225" w:lineRule="auto"/>
        <w:ind w:left="98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2024年部门整体支出绩效目标表</w:t>
      </w:r>
    </w:p>
    <w:p>
      <w:pPr>
        <w:spacing w:before="295" w:line="203" w:lineRule="auto"/>
        <w:ind w:left="1021"/>
        <w:rPr>
          <w:rFonts w:ascii="宋体" w:hAnsi="宋体" w:eastAsia="宋体" w:cs="宋体"/>
          <w:sz w:val="19"/>
          <w:szCs w:val="19"/>
        </w:rPr>
      </w:pPr>
      <w:r>
        <w:pict>
          <v:shape id="_x0000_s1070" o:spid="_x0000_s1070" o:spt="202" type="#_x0000_t202" style="position:absolute;left:0pt;margin-left:1197pt;margin-top:13.75pt;height:13.8pt;width:21.1pt;z-index:2517063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万元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1167.55pt;margin-top:13.75pt;height:13.8pt;width:28.5pt;z-index:2517053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9"/>
                      <w:szCs w:val="19"/>
                    </w:rPr>
                    <w:t>单位：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.35pt;margin-top:13.75pt;height:13.8pt;width:47.95pt;z-index:2517043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部门名称：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"/>
          <w:sz w:val="19"/>
          <w:szCs w:val="19"/>
        </w:rPr>
        <w:t>长沙市开福区文化旅游体育局</w:t>
      </w:r>
    </w:p>
    <w:tbl>
      <w:tblPr>
        <w:tblStyle w:val="5"/>
        <w:tblW w:w="243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889"/>
        <w:gridCol w:w="1094"/>
        <w:gridCol w:w="869"/>
        <w:gridCol w:w="869"/>
        <w:gridCol w:w="884"/>
        <w:gridCol w:w="869"/>
        <w:gridCol w:w="1064"/>
        <w:gridCol w:w="1139"/>
        <w:gridCol w:w="4152"/>
        <w:gridCol w:w="780"/>
        <w:gridCol w:w="765"/>
        <w:gridCol w:w="1169"/>
        <w:gridCol w:w="780"/>
        <w:gridCol w:w="1259"/>
        <w:gridCol w:w="555"/>
        <w:gridCol w:w="2384"/>
        <w:gridCol w:w="1979"/>
        <w:gridCol w:w="10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02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3" w:lineRule="auto"/>
              <w:ind w:left="298" w:right="100" w:hanging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</w:t>
            </w:r>
            <w:r>
              <w:rPr>
                <w:spacing w:val="2"/>
                <w:sz w:val="19"/>
                <w:szCs w:val="19"/>
              </w:rPr>
              <w:t>码</w:t>
            </w:r>
          </w:p>
        </w:tc>
        <w:tc>
          <w:tcPr>
            <w:tcW w:w="188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54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单位名称</w:t>
            </w:r>
          </w:p>
        </w:tc>
        <w:tc>
          <w:tcPr>
            <w:tcW w:w="6788" w:type="dxa"/>
            <w:gridSpan w:val="7"/>
            <w:vAlign w:val="top"/>
          </w:tcPr>
          <w:p>
            <w:pPr>
              <w:pStyle w:val="6"/>
              <w:spacing w:before="60" w:line="229" w:lineRule="auto"/>
              <w:ind w:left="280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年度预算申请</w:t>
            </w:r>
          </w:p>
        </w:tc>
        <w:tc>
          <w:tcPr>
            <w:tcW w:w="415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48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整体绩效目标</w:t>
            </w:r>
          </w:p>
        </w:tc>
        <w:tc>
          <w:tcPr>
            <w:tcW w:w="10728" w:type="dxa"/>
            <w:gridSpan w:val="9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3" w:line="219" w:lineRule="auto"/>
              <w:ind w:left="4280"/>
            </w:pPr>
            <w:r>
              <w:rPr>
                <w:spacing w:val="-1"/>
              </w:rPr>
              <w:t>部门整体支出年度绩效目标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81"/>
            </w:pPr>
            <w:r>
              <w:rPr>
                <w:spacing w:val="-4"/>
              </w:rPr>
              <w:t>资金总额</w:t>
            </w:r>
          </w:p>
        </w:tc>
        <w:tc>
          <w:tcPr>
            <w:tcW w:w="3491" w:type="dxa"/>
            <w:gridSpan w:val="4"/>
            <w:vAlign w:val="top"/>
          </w:tcPr>
          <w:p>
            <w:pPr>
              <w:pStyle w:val="6"/>
              <w:spacing w:before="53" w:line="229" w:lineRule="auto"/>
              <w:ind w:left="115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按收入性质分</w:t>
            </w:r>
          </w:p>
        </w:tc>
        <w:tc>
          <w:tcPr>
            <w:tcW w:w="2203" w:type="dxa"/>
            <w:gridSpan w:val="2"/>
            <w:vAlign w:val="top"/>
          </w:tcPr>
          <w:p>
            <w:pPr>
              <w:pStyle w:val="6"/>
              <w:spacing w:before="53" w:line="229" w:lineRule="auto"/>
              <w:ind w:left="51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按支出性质分</w:t>
            </w: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28" w:type="dxa"/>
            <w:gridSpan w:val="9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before="115" w:line="225" w:lineRule="auto"/>
              <w:ind w:left="250" w:right="71" w:hanging="178"/>
            </w:pPr>
            <w:r>
              <w:rPr>
                <w:spacing w:val="-3"/>
              </w:rPr>
              <w:t>一般公共</w:t>
            </w:r>
            <w:r>
              <w:rPr>
                <w:spacing w:val="-5"/>
              </w:rPr>
              <w:t>预算</w:t>
            </w:r>
          </w:p>
        </w:tc>
        <w:tc>
          <w:tcPr>
            <w:tcW w:w="869" w:type="dxa"/>
            <w:vAlign w:val="top"/>
          </w:tcPr>
          <w:p>
            <w:pPr>
              <w:pStyle w:val="6"/>
              <w:spacing w:before="115" w:line="219" w:lineRule="auto"/>
              <w:ind w:left="69"/>
            </w:pPr>
            <w:r>
              <w:rPr>
                <w:spacing w:val="-2"/>
              </w:rPr>
              <w:t>政府性基</w:t>
            </w:r>
          </w:p>
          <w:p>
            <w:pPr>
              <w:pStyle w:val="6"/>
              <w:spacing w:before="12" w:line="219" w:lineRule="auto"/>
              <w:ind w:left="161"/>
            </w:pPr>
            <w:r>
              <w:rPr>
                <w:spacing w:val="-3"/>
              </w:rPr>
              <w:t>金拨款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5" w:line="225" w:lineRule="auto"/>
              <w:ind w:left="75" w:right="84" w:hanging="3"/>
            </w:pPr>
            <w:r>
              <w:rPr>
                <w:spacing w:val="-2"/>
              </w:rPr>
              <w:t>财政专户</w:t>
            </w:r>
            <w:r>
              <w:rPr>
                <w:spacing w:val="-3"/>
              </w:rPr>
              <w:t>管理资金</w:t>
            </w:r>
          </w:p>
        </w:tc>
        <w:tc>
          <w:tcPr>
            <w:tcW w:w="869" w:type="dxa"/>
            <w:vAlign w:val="top"/>
          </w:tcPr>
          <w:p>
            <w:pPr>
              <w:pStyle w:val="6"/>
              <w:spacing w:before="220" w:line="220" w:lineRule="auto"/>
              <w:ind w:left="73"/>
            </w:pPr>
            <w:r>
              <w:rPr>
                <w:spacing w:val="-2"/>
              </w:rPr>
              <w:t>其他资金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220" w:line="219" w:lineRule="auto"/>
              <w:ind w:left="163"/>
            </w:pPr>
            <w:r>
              <w:rPr>
                <w:spacing w:val="-2"/>
              </w:rPr>
              <w:t>基本支出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20" w:line="220" w:lineRule="auto"/>
              <w:ind w:left="212"/>
            </w:pPr>
            <w:r>
              <w:rPr>
                <w:spacing w:val="-3"/>
              </w:rPr>
              <w:t>项目支出</w:t>
            </w:r>
          </w:p>
        </w:tc>
        <w:tc>
          <w:tcPr>
            <w:tcW w:w="4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6"/>
              <w:spacing w:before="220" w:line="220" w:lineRule="auto"/>
              <w:ind w:left="36"/>
            </w:pPr>
            <w:r>
              <w:rPr>
                <w:spacing w:val="-3"/>
              </w:rPr>
              <w:t>一级指标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220" w:line="220" w:lineRule="auto"/>
              <w:ind w:left="21"/>
            </w:pPr>
            <w:r>
              <w:rPr>
                <w:spacing w:val="-3"/>
              </w:rPr>
              <w:t>二级指标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220" w:line="220" w:lineRule="auto"/>
              <w:ind w:left="228"/>
            </w:pPr>
            <w:r>
              <w:rPr>
                <w:spacing w:val="-2"/>
              </w:rPr>
              <w:t>三级指标</w:t>
            </w:r>
          </w:p>
        </w:tc>
        <w:tc>
          <w:tcPr>
            <w:tcW w:w="780" w:type="dxa"/>
            <w:vAlign w:val="top"/>
          </w:tcPr>
          <w:p>
            <w:pPr>
              <w:pStyle w:val="6"/>
              <w:spacing w:before="115" w:line="229" w:lineRule="auto"/>
              <w:ind w:left="309" w:right="17" w:hanging="273"/>
            </w:pPr>
            <w:r>
              <w:rPr>
                <w:spacing w:val="-3"/>
              </w:rPr>
              <w:t>指标值类</w:t>
            </w:r>
            <w:r>
              <w:t>型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21" w:line="219" w:lineRule="auto"/>
              <w:ind w:left="366"/>
            </w:pPr>
            <w:r>
              <w:rPr>
                <w:spacing w:val="-4"/>
              </w:rPr>
              <w:t>指标值</w:t>
            </w:r>
          </w:p>
        </w:tc>
        <w:tc>
          <w:tcPr>
            <w:tcW w:w="555" w:type="dxa"/>
            <w:vAlign w:val="top"/>
          </w:tcPr>
          <w:p>
            <w:pPr>
              <w:pStyle w:val="6"/>
              <w:spacing w:before="116" w:line="225" w:lineRule="auto"/>
              <w:ind w:left="96" w:right="91" w:hanging="1"/>
            </w:pPr>
            <w:r>
              <w:rPr>
                <w:spacing w:val="-4"/>
              </w:rPr>
              <w:t>计量</w:t>
            </w:r>
            <w:r>
              <w:rPr>
                <w:spacing w:val="-5"/>
              </w:rPr>
              <w:t>单位</w:t>
            </w:r>
          </w:p>
        </w:tc>
        <w:tc>
          <w:tcPr>
            <w:tcW w:w="2384" w:type="dxa"/>
            <w:vAlign w:val="top"/>
          </w:tcPr>
          <w:p>
            <w:pPr>
              <w:pStyle w:val="6"/>
              <w:spacing w:before="221" w:line="219" w:lineRule="auto"/>
              <w:ind w:left="832"/>
            </w:pPr>
            <w:r>
              <w:rPr>
                <w:spacing w:val="-3"/>
              </w:rPr>
              <w:t>指标解释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220" w:line="220" w:lineRule="auto"/>
              <w:ind w:left="365"/>
            </w:pPr>
            <w:r>
              <w:rPr>
                <w:spacing w:val="-1"/>
              </w:rPr>
              <w:t>评（扣）分标准</w:t>
            </w:r>
          </w:p>
        </w:tc>
        <w:tc>
          <w:tcPr>
            <w:tcW w:w="1057" w:type="dxa"/>
            <w:vAlign w:val="top"/>
          </w:tcPr>
          <w:p>
            <w:pPr>
              <w:pStyle w:val="6"/>
              <w:spacing w:before="220" w:line="221" w:lineRule="auto"/>
              <w:ind w:left="354"/>
            </w:pPr>
            <w:r>
              <w:rPr>
                <w:spacing w:val="-5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80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3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188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7" w:right="49" w:hanging="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长沙市开福区文化旅游体</w:t>
            </w:r>
            <w:r>
              <w:rPr>
                <w:spacing w:val="5"/>
                <w:sz w:val="15"/>
                <w:szCs w:val="15"/>
              </w:rPr>
              <w:t>育局</w:t>
            </w:r>
          </w:p>
        </w:tc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3" w:lineRule="auto"/>
              <w:ind w:left="34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1,003.17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3" w:lineRule="auto"/>
              <w:ind w:left="12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1,003.17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9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722.89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57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280.28</w:t>
            </w:r>
          </w:p>
        </w:tc>
        <w:tc>
          <w:tcPr>
            <w:tcW w:w="41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9" w:right="39" w:firstLine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按质按量完成部门工作，争取年底部门绩效考核取得</w:t>
            </w:r>
            <w:r>
              <w:rPr>
                <w:spacing w:val="12"/>
                <w:sz w:val="15"/>
                <w:szCs w:val="15"/>
              </w:rPr>
              <w:t>较</w:t>
            </w:r>
            <w:r>
              <w:rPr>
                <w:spacing w:val="14"/>
                <w:sz w:val="15"/>
                <w:szCs w:val="15"/>
              </w:rPr>
              <w:t>好成绩。维护7家24小时图书馆运转，维护13家图书分馆</w:t>
            </w:r>
          </w:p>
          <w:p>
            <w:pPr>
              <w:pStyle w:val="6"/>
              <w:spacing w:before="7" w:line="238" w:lineRule="auto"/>
              <w:ind w:left="30" w:right="159" w:firstLine="12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的工作开展，开放游泳场馆以及篮球、足球、乒</w:t>
            </w:r>
            <w:r>
              <w:rPr>
                <w:spacing w:val="13"/>
                <w:sz w:val="15"/>
                <w:szCs w:val="15"/>
              </w:rPr>
              <w:t>乓球、</w:t>
            </w:r>
            <w:r>
              <w:rPr>
                <w:spacing w:val="14"/>
                <w:sz w:val="15"/>
                <w:szCs w:val="15"/>
              </w:rPr>
              <w:t>羽毛球场馆，组织区内全民健身活动，社会体育指导员培训，健身器材管理良好，活跃群众文化生活，让群众参与文化、享受文化、维护社区文化活动中心费用开</w:t>
            </w:r>
          </w:p>
          <w:p>
            <w:pPr>
              <w:pStyle w:val="6"/>
              <w:spacing w:before="8" w:line="238" w:lineRule="auto"/>
              <w:ind w:left="29" w:right="15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放，提升水平加快构建现代化公共文化服务体系，加大旅游宣传力度，将会展与媒体宣传相结合提高开福区的</w:t>
            </w:r>
            <w:r>
              <w:rPr>
                <w:spacing w:val="13"/>
                <w:sz w:val="15"/>
                <w:szCs w:val="15"/>
              </w:rPr>
              <w:t>旅游资源影响力度，同时对区内的酒店、旅行社、乡村</w:t>
            </w:r>
            <w:r>
              <w:rPr>
                <w:spacing w:val="14"/>
                <w:sz w:val="15"/>
                <w:szCs w:val="15"/>
              </w:rPr>
              <w:t>旅游景点进行星级评定，提高相关行业的服务水平。做</w:t>
            </w:r>
            <w:r>
              <w:rPr>
                <w:spacing w:val="13"/>
                <w:sz w:val="15"/>
                <w:szCs w:val="15"/>
              </w:rPr>
              <w:t>好文物保护工作，确保区内文化安全。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3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成本指标</w:t>
            </w:r>
          </w:p>
        </w:tc>
        <w:tc>
          <w:tcPr>
            <w:tcW w:w="765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3" w:right="6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经济成本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3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成本节约率</w:t>
            </w:r>
          </w:p>
        </w:tc>
        <w:tc>
          <w:tcPr>
            <w:tcW w:w="78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49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25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right="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0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384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4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减少指标成本，成本不能超预算</w:t>
            </w:r>
          </w:p>
          <w:p>
            <w:pPr>
              <w:pStyle w:val="6"/>
              <w:spacing w:before="107" w:line="70" w:lineRule="exact"/>
              <w:ind w:left="47"/>
              <w:rPr>
                <w:sz w:val="15"/>
                <w:szCs w:val="15"/>
              </w:rPr>
            </w:pPr>
            <w:r>
              <w:rPr>
                <w:position w:val="2"/>
                <w:sz w:val="15"/>
                <w:szCs w:val="15"/>
              </w:rPr>
              <w:t>,</w:t>
            </w:r>
          </w:p>
        </w:tc>
        <w:tc>
          <w:tcPr>
            <w:tcW w:w="197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8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项目超预算，扣0.2分</w:t>
            </w: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3" w:right="6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社会成本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3" w:right="6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生态环境成本指标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产出指标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3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数量指标</w:t>
            </w:r>
          </w:p>
        </w:tc>
        <w:tc>
          <w:tcPr>
            <w:tcW w:w="116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全年完成活</w:t>
            </w:r>
          </w:p>
          <w:p>
            <w:pPr>
              <w:pStyle w:val="6"/>
              <w:spacing w:before="7" w:line="235" w:lineRule="auto"/>
              <w:ind w:left="31" w:right="143" w:firstLine="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动、培训、宣</w:t>
            </w:r>
            <w:r>
              <w:rPr>
                <w:spacing w:val="13"/>
                <w:sz w:val="15"/>
                <w:szCs w:val="15"/>
              </w:rPr>
              <w:t>传等64场次</w:t>
            </w:r>
          </w:p>
        </w:tc>
        <w:tc>
          <w:tcPr>
            <w:tcW w:w="78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49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2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1054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95</w:t>
            </w:r>
          </w:p>
        </w:tc>
        <w:tc>
          <w:tcPr>
            <w:tcW w:w="5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38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完成全年的活动、培训、宣传等</w:t>
            </w:r>
          </w:p>
        </w:tc>
        <w:tc>
          <w:tcPr>
            <w:tcW w:w="197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8" w:right="1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未完成目标值，每少完成</w:t>
            </w:r>
            <w:r>
              <w:rPr>
                <w:spacing w:val="12"/>
                <w:sz w:val="15"/>
                <w:szCs w:val="15"/>
              </w:rPr>
              <w:t>一项扣0.1分</w:t>
            </w: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3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质量指标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201" w:line="237" w:lineRule="auto"/>
              <w:ind w:left="33" w:right="143" w:hanging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在规定时间内</w:t>
            </w:r>
            <w:r>
              <w:rPr>
                <w:spacing w:val="12"/>
                <w:sz w:val="15"/>
                <w:szCs w:val="15"/>
              </w:rPr>
              <w:t>高质量完成全年计划的活</w:t>
            </w:r>
          </w:p>
          <w:p>
            <w:pPr>
              <w:pStyle w:val="6"/>
              <w:spacing w:before="7" w:line="235" w:lineRule="auto"/>
              <w:ind w:left="31" w:right="143" w:firstLine="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动、培训、宣</w:t>
            </w:r>
            <w:r>
              <w:rPr>
                <w:spacing w:val="9"/>
                <w:sz w:val="15"/>
                <w:szCs w:val="15"/>
              </w:rPr>
              <w:t>传等</w:t>
            </w:r>
          </w:p>
        </w:tc>
        <w:tc>
          <w:tcPr>
            <w:tcW w:w="78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49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2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1054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95</w:t>
            </w:r>
          </w:p>
        </w:tc>
        <w:tc>
          <w:tcPr>
            <w:tcW w:w="5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38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完成全年的活动、培训、宣传等</w:t>
            </w:r>
          </w:p>
        </w:tc>
        <w:tc>
          <w:tcPr>
            <w:tcW w:w="197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8" w:right="1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未完成目标值，每少完成</w:t>
            </w:r>
            <w:r>
              <w:rPr>
                <w:spacing w:val="12"/>
                <w:sz w:val="15"/>
                <w:szCs w:val="15"/>
              </w:rPr>
              <w:t>一项扣0.1分</w:t>
            </w: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40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时效指标</w:t>
            </w:r>
          </w:p>
        </w:tc>
        <w:tc>
          <w:tcPr>
            <w:tcW w:w="116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0" w:lineRule="auto"/>
              <w:ind w:left="34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2024年年底</w:t>
            </w:r>
          </w:p>
        </w:tc>
        <w:tc>
          <w:tcPr>
            <w:tcW w:w="78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定性</w:t>
            </w:r>
          </w:p>
        </w:tc>
        <w:tc>
          <w:tcPr>
            <w:tcW w:w="12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1054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95</w:t>
            </w:r>
          </w:p>
        </w:tc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38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5" w:lineRule="auto"/>
              <w:ind w:left="36" w:right="171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2024年年底完成各项活动、培</w:t>
            </w:r>
            <w:r>
              <w:rPr>
                <w:spacing w:val="11"/>
                <w:sz w:val="15"/>
                <w:szCs w:val="15"/>
              </w:rPr>
              <w:t>训、宣传</w:t>
            </w:r>
          </w:p>
        </w:tc>
        <w:tc>
          <w:tcPr>
            <w:tcW w:w="1979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8" w:right="1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未完成目标值，每少完成</w:t>
            </w:r>
            <w:r>
              <w:rPr>
                <w:spacing w:val="12"/>
                <w:sz w:val="15"/>
                <w:szCs w:val="15"/>
              </w:rPr>
              <w:t>一项扣0.1分</w:t>
            </w: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6"/>
              <w:rPr>
                <w:sz w:val="15"/>
                <w:szCs w:val="15"/>
              </w:rPr>
            </w:pPr>
            <w:r>
              <w:rPr>
                <w:spacing w:val="10"/>
                <w:sz w:val="15"/>
                <w:szCs w:val="15"/>
              </w:rPr>
              <w:t>效益指标</w:t>
            </w:r>
          </w:p>
        </w:tc>
        <w:tc>
          <w:tcPr>
            <w:tcW w:w="765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3" w:right="6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经济效益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6" w:lineRule="auto"/>
              <w:ind w:left="33" w:right="6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社会效益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24" w:line="236" w:lineRule="auto"/>
              <w:ind w:left="33" w:right="113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2024年持续完</w:t>
            </w:r>
            <w:r>
              <w:rPr>
                <w:spacing w:val="12"/>
                <w:sz w:val="15"/>
                <w:szCs w:val="15"/>
              </w:rPr>
              <w:t>成文化、旅</w:t>
            </w:r>
          </w:p>
          <w:p>
            <w:pPr>
              <w:pStyle w:val="6"/>
              <w:spacing w:before="6" w:line="230" w:lineRule="auto"/>
              <w:ind w:left="32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游、体育活</w:t>
            </w:r>
          </w:p>
          <w:p>
            <w:pPr>
              <w:pStyle w:val="6"/>
              <w:spacing w:before="8" w:line="227" w:lineRule="auto"/>
              <w:ind w:left="31" w:right="143" w:firstLine="1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动、培训及宣</w:t>
            </w:r>
            <w:r>
              <w:rPr>
                <w:spacing w:val="13"/>
                <w:sz w:val="15"/>
                <w:szCs w:val="15"/>
              </w:rPr>
              <w:t>传，使全区文化、旅游、体育事业积极发</w:t>
            </w:r>
            <w:r>
              <w:rPr>
                <w:spacing w:val="4"/>
                <w:sz w:val="15"/>
                <w:szCs w:val="15"/>
              </w:rPr>
              <w:t>展</w:t>
            </w:r>
          </w:p>
        </w:tc>
        <w:tc>
          <w:tcPr>
            <w:tcW w:w="78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02" w:lineRule="exact"/>
              <w:ind w:left="49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25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1054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95</w:t>
            </w:r>
          </w:p>
        </w:tc>
        <w:tc>
          <w:tcPr>
            <w:tcW w:w="55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1" w:lineRule="auto"/>
              <w:ind w:left="3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</w:t>
            </w:r>
          </w:p>
        </w:tc>
        <w:tc>
          <w:tcPr>
            <w:tcW w:w="2384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参与活动群众人数是否增加</w:t>
            </w:r>
          </w:p>
        </w:tc>
        <w:tc>
          <w:tcPr>
            <w:tcW w:w="197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6" w:lineRule="auto"/>
              <w:ind w:left="38" w:right="1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未完成目标值，每少完成</w:t>
            </w:r>
            <w:r>
              <w:rPr>
                <w:spacing w:val="12"/>
                <w:sz w:val="15"/>
                <w:szCs w:val="15"/>
              </w:rPr>
              <w:t>一项扣0.1分</w:t>
            </w: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3" w:right="6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生态效益</w:t>
            </w:r>
            <w:r>
              <w:rPr>
                <w:spacing w:val="7"/>
                <w:sz w:val="15"/>
                <w:szCs w:val="15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8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9" w:right="69" w:hanging="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可持续影</w:t>
            </w:r>
            <w:r>
              <w:rPr>
                <w:spacing w:val="8"/>
                <w:sz w:val="15"/>
                <w:szCs w:val="15"/>
              </w:rPr>
              <w:t>响指标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25229" w:h="18256"/>
          <w:pgMar w:top="1011" w:right="305" w:bottom="0" w:left="547" w:header="0" w:footer="0" w:gutter="0"/>
          <w:cols w:space="720" w:num="1"/>
        </w:sectPr>
      </w:pPr>
    </w:p>
    <w:p>
      <w:pPr>
        <w:spacing w:before="63" w:line="225" w:lineRule="auto"/>
        <w:ind w:left="98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6762" w14:cap="sq" w14:cmpd="sng">
            <w14:solidFill>
              <w14:srgbClr w14:val="000000"/>
            </w14:solidFill>
            <w14:prstDash w14:val="solid"/>
            <w14:miter w14:val="0"/>
          </w14:textOutline>
        </w:rPr>
        <w:t>2024年部门整体支出绩效目标表</w:t>
      </w:r>
    </w:p>
    <w:p>
      <w:pPr>
        <w:spacing w:before="13"/>
      </w:pPr>
    </w:p>
    <w:p>
      <w:pPr>
        <w:sectPr>
          <w:pgSz w:w="25229" w:h="18256"/>
          <w:pgMar w:top="1011" w:right="305" w:bottom="0" w:left="547" w:header="0" w:footer="0" w:gutter="0"/>
          <w:cols w:equalWidth="0" w:num="1">
            <w:col w:w="24375"/>
          </w:cols>
        </w:sectPr>
      </w:pPr>
    </w:p>
    <w:p>
      <w:pPr>
        <w:spacing w:before="39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部门名称：长沙市开福区文化旅游体育局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单位：万元</w:t>
      </w:r>
    </w:p>
    <w:p>
      <w:pPr>
        <w:spacing w:line="19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25229" w:h="18256"/>
          <w:pgMar w:top="1011" w:right="305" w:bottom="0" w:left="547" w:header="0" w:footer="0" w:gutter="0"/>
          <w:cols w:equalWidth="0" w:num="2">
            <w:col w:w="23272" w:space="100"/>
            <w:col w:w="1004"/>
          </w:cols>
        </w:sectPr>
      </w:pPr>
    </w:p>
    <w:p>
      <w:pPr>
        <w:spacing w:line="99" w:lineRule="auto"/>
        <w:rPr>
          <w:rFonts w:ascii="Arial"/>
          <w:sz w:val="2"/>
        </w:rPr>
      </w:pPr>
    </w:p>
    <w:tbl>
      <w:tblPr>
        <w:tblStyle w:val="5"/>
        <w:tblW w:w="243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889"/>
        <w:gridCol w:w="1094"/>
        <w:gridCol w:w="869"/>
        <w:gridCol w:w="869"/>
        <w:gridCol w:w="884"/>
        <w:gridCol w:w="869"/>
        <w:gridCol w:w="1064"/>
        <w:gridCol w:w="1139"/>
        <w:gridCol w:w="4152"/>
        <w:gridCol w:w="780"/>
        <w:gridCol w:w="765"/>
        <w:gridCol w:w="1169"/>
        <w:gridCol w:w="780"/>
        <w:gridCol w:w="1259"/>
        <w:gridCol w:w="555"/>
        <w:gridCol w:w="2384"/>
        <w:gridCol w:w="1979"/>
        <w:gridCol w:w="10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02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3" w:lineRule="auto"/>
              <w:ind w:left="298" w:right="100" w:hanging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单位编</w:t>
            </w:r>
            <w:r>
              <w:rPr>
                <w:spacing w:val="2"/>
                <w:sz w:val="19"/>
                <w:szCs w:val="19"/>
              </w:rPr>
              <w:t>码</w:t>
            </w:r>
          </w:p>
        </w:tc>
        <w:tc>
          <w:tcPr>
            <w:tcW w:w="188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54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单位名称</w:t>
            </w:r>
          </w:p>
        </w:tc>
        <w:tc>
          <w:tcPr>
            <w:tcW w:w="6788" w:type="dxa"/>
            <w:gridSpan w:val="7"/>
            <w:vAlign w:val="top"/>
          </w:tcPr>
          <w:p>
            <w:pPr>
              <w:pStyle w:val="6"/>
              <w:spacing w:before="60" w:line="229" w:lineRule="auto"/>
              <w:ind w:left="280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年度预算申请</w:t>
            </w:r>
          </w:p>
        </w:tc>
        <w:tc>
          <w:tcPr>
            <w:tcW w:w="415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48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整体绩效目标</w:t>
            </w:r>
          </w:p>
        </w:tc>
        <w:tc>
          <w:tcPr>
            <w:tcW w:w="10728" w:type="dxa"/>
            <w:gridSpan w:val="9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3" w:line="219" w:lineRule="auto"/>
              <w:ind w:left="4280"/>
            </w:pPr>
            <w:r>
              <w:rPr>
                <w:spacing w:val="-1"/>
              </w:rPr>
              <w:t>部门整体支出年度绩效目标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81"/>
            </w:pPr>
            <w:r>
              <w:rPr>
                <w:spacing w:val="-4"/>
              </w:rPr>
              <w:t>资金总额</w:t>
            </w:r>
          </w:p>
        </w:tc>
        <w:tc>
          <w:tcPr>
            <w:tcW w:w="3491" w:type="dxa"/>
            <w:gridSpan w:val="4"/>
            <w:vAlign w:val="top"/>
          </w:tcPr>
          <w:p>
            <w:pPr>
              <w:pStyle w:val="6"/>
              <w:spacing w:before="54" w:line="229" w:lineRule="auto"/>
              <w:ind w:left="115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按收入性质分</w:t>
            </w:r>
          </w:p>
        </w:tc>
        <w:tc>
          <w:tcPr>
            <w:tcW w:w="2203" w:type="dxa"/>
            <w:gridSpan w:val="2"/>
            <w:vAlign w:val="top"/>
          </w:tcPr>
          <w:p>
            <w:pPr>
              <w:pStyle w:val="6"/>
              <w:spacing w:before="54" w:line="229" w:lineRule="auto"/>
              <w:ind w:left="51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按支出性质分</w:t>
            </w:r>
          </w:p>
        </w:tc>
        <w:tc>
          <w:tcPr>
            <w:tcW w:w="4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28" w:type="dxa"/>
            <w:gridSpan w:val="9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before="118" w:line="225" w:lineRule="auto"/>
              <w:ind w:left="250" w:right="71" w:hanging="178"/>
            </w:pPr>
            <w:r>
              <w:rPr>
                <w:spacing w:val="-3"/>
              </w:rPr>
              <w:t>一般公共</w:t>
            </w:r>
            <w:r>
              <w:rPr>
                <w:spacing w:val="-5"/>
              </w:rPr>
              <w:t>预算</w:t>
            </w:r>
          </w:p>
        </w:tc>
        <w:tc>
          <w:tcPr>
            <w:tcW w:w="869" w:type="dxa"/>
            <w:vAlign w:val="top"/>
          </w:tcPr>
          <w:p>
            <w:pPr>
              <w:pStyle w:val="6"/>
              <w:spacing w:before="118" w:line="219" w:lineRule="auto"/>
              <w:ind w:left="69"/>
            </w:pPr>
            <w:r>
              <w:rPr>
                <w:spacing w:val="-2"/>
              </w:rPr>
              <w:t>政府性基</w:t>
            </w:r>
          </w:p>
          <w:p>
            <w:pPr>
              <w:pStyle w:val="6"/>
              <w:spacing w:before="12" w:line="219" w:lineRule="auto"/>
              <w:ind w:left="161"/>
            </w:pPr>
            <w:r>
              <w:rPr>
                <w:spacing w:val="-3"/>
              </w:rPr>
              <w:t>金拨款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8" w:line="225" w:lineRule="auto"/>
              <w:ind w:left="75" w:right="84" w:hanging="3"/>
            </w:pPr>
            <w:r>
              <w:rPr>
                <w:spacing w:val="-2"/>
              </w:rPr>
              <w:t>财政专户</w:t>
            </w:r>
            <w:r>
              <w:rPr>
                <w:spacing w:val="-3"/>
              </w:rPr>
              <w:t>管理资金</w:t>
            </w:r>
          </w:p>
        </w:tc>
        <w:tc>
          <w:tcPr>
            <w:tcW w:w="869" w:type="dxa"/>
            <w:vAlign w:val="top"/>
          </w:tcPr>
          <w:p>
            <w:pPr>
              <w:pStyle w:val="6"/>
              <w:spacing w:before="223" w:line="220" w:lineRule="auto"/>
              <w:ind w:left="73"/>
            </w:pPr>
            <w:r>
              <w:rPr>
                <w:spacing w:val="-2"/>
              </w:rPr>
              <w:t>其他资金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223" w:line="219" w:lineRule="auto"/>
              <w:ind w:left="163"/>
            </w:pPr>
            <w:r>
              <w:rPr>
                <w:spacing w:val="-2"/>
              </w:rPr>
              <w:t>基本支出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23" w:line="220" w:lineRule="auto"/>
              <w:ind w:left="212"/>
            </w:pPr>
            <w:r>
              <w:rPr>
                <w:spacing w:val="-3"/>
              </w:rPr>
              <w:t>项目支出</w:t>
            </w:r>
          </w:p>
        </w:tc>
        <w:tc>
          <w:tcPr>
            <w:tcW w:w="4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6"/>
              <w:spacing w:before="223" w:line="220" w:lineRule="auto"/>
              <w:ind w:left="36"/>
            </w:pPr>
            <w:r>
              <w:rPr>
                <w:spacing w:val="-3"/>
              </w:rPr>
              <w:t>一级指标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223" w:line="220" w:lineRule="auto"/>
              <w:ind w:left="21"/>
            </w:pPr>
            <w:r>
              <w:rPr>
                <w:spacing w:val="-3"/>
              </w:rPr>
              <w:t>二级指标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223" w:line="220" w:lineRule="auto"/>
              <w:ind w:left="228"/>
            </w:pPr>
            <w:r>
              <w:rPr>
                <w:spacing w:val="-2"/>
              </w:rPr>
              <w:t>三级指标</w:t>
            </w:r>
          </w:p>
        </w:tc>
        <w:tc>
          <w:tcPr>
            <w:tcW w:w="780" w:type="dxa"/>
            <w:vAlign w:val="top"/>
          </w:tcPr>
          <w:p>
            <w:pPr>
              <w:pStyle w:val="6"/>
              <w:spacing w:before="118" w:line="229" w:lineRule="auto"/>
              <w:ind w:left="309" w:right="17" w:hanging="273"/>
            </w:pPr>
            <w:r>
              <w:rPr>
                <w:spacing w:val="-3"/>
              </w:rPr>
              <w:t>指标值类</w:t>
            </w:r>
            <w:r>
              <w:t>型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24" w:line="219" w:lineRule="auto"/>
              <w:ind w:left="366"/>
            </w:pPr>
            <w:r>
              <w:rPr>
                <w:spacing w:val="-4"/>
              </w:rPr>
              <w:t>指标值</w:t>
            </w:r>
          </w:p>
        </w:tc>
        <w:tc>
          <w:tcPr>
            <w:tcW w:w="555" w:type="dxa"/>
            <w:vAlign w:val="top"/>
          </w:tcPr>
          <w:p>
            <w:pPr>
              <w:pStyle w:val="6"/>
              <w:spacing w:before="119" w:line="225" w:lineRule="auto"/>
              <w:ind w:left="96" w:right="91" w:hanging="1"/>
            </w:pPr>
            <w:r>
              <w:rPr>
                <w:spacing w:val="-4"/>
              </w:rPr>
              <w:t>计量</w:t>
            </w:r>
            <w:r>
              <w:rPr>
                <w:spacing w:val="-5"/>
              </w:rPr>
              <w:t>单位</w:t>
            </w:r>
          </w:p>
        </w:tc>
        <w:tc>
          <w:tcPr>
            <w:tcW w:w="2384" w:type="dxa"/>
            <w:vAlign w:val="top"/>
          </w:tcPr>
          <w:p>
            <w:pPr>
              <w:pStyle w:val="6"/>
              <w:spacing w:before="224" w:line="219" w:lineRule="auto"/>
              <w:ind w:left="832"/>
            </w:pPr>
            <w:r>
              <w:rPr>
                <w:spacing w:val="-3"/>
              </w:rPr>
              <w:t>指标解释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223" w:line="220" w:lineRule="auto"/>
              <w:ind w:left="365"/>
            </w:pPr>
            <w:r>
              <w:rPr>
                <w:spacing w:val="-1"/>
              </w:rPr>
              <w:t>评（扣）分标准</w:t>
            </w:r>
          </w:p>
        </w:tc>
        <w:tc>
          <w:tcPr>
            <w:tcW w:w="1057" w:type="dxa"/>
            <w:vAlign w:val="top"/>
          </w:tcPr>
          <w:p>
            <w:pPr>
              <w:pStyle w:val="6"/>
              <w:spacing w:before="223" w:line="221" w:lineRule="auto"/>
              <w:ind w:left="354"/>
            </w:pPr>
            <w:r>
              <w:rPr>
                <w:spacing w:val="-5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0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3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203001</w:t>
            </w:r>
          </w:p>
        </w:tc>
        <w:tc>
          <w:tcPr>
            <w:tcW w:w="188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5" w:lineRule="auto"/>
              <w:ind w:left="27" w:right="49" w:hanging="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长沙市开福区文化旅游体</w:t>
            </w:r>
            <w:r>
              <w:rPr>
                <w:spacing w:val="5"/>
                <w:sz w:val="15"/>
                <w:szCs w:val="15"/>
              </w:rPr>
              <w:t>育局</w:t>
            </w:r>
          </w:p>
        </w:tc>
        <w:tc>
          <w:tcPr>
            <w:tcW w:w="109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3" w:lineRule="auto"/>
              <w:ind w:left="349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1,003.17</w:t>
            </w:r>
          </w:p>
        </w:tc>
        <w:tc>
          <w:tcPr>
            <w:tcW w:w="86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3" w:lineRule="auto"/>
              <w:ind w:left="125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1,003.17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496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722.89</w:t>
            </w:r>
          </w:p>
        </w:tc>
        <w:tc>
          <w:tcPr>
            <w:tcW w:w="113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570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280.28</w:t>
            </w:r>
          </w:p>
        </w:tc>
        <w:tc>
          <w:tcPr>
            <w:tcW w:w="4152" w:type="dxa"/>
            <w:vAlign w:val="top"/>
          </w:tcPr>
          <w:p>
            <w:pPr>
              <w:pStyle w:val="6"/>
              <w:spacing w:before="21" w:line="237" w:lineRule="auto"/>
              <w:ind w:left="29" w:right="39" w:firstLine="1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按质按量完成部门工作，争取年底部门绩效考核取得</w:t>
            </w:r>
            <w:r>
              <w:rPr>
                <w:spacing w:val="12"/>
                <w:sz w:val="15"/>
                <w:szCs w:val="15"/>
              </w:rPr>
              <w:t>较</w:t>
            </w:r>
            <w:r>
              <w:rPr>
                <w:spacing w:val="14"/>
                <w:sz w:val="15"/>
                <w:szCs w:val="15"/>
              </w:rPr>
              <w:t>好成绩。维护7家24小时图书馆运转，维护13家图书分馆的工作开展，开放游泳场馆以及篮球、足球</w:t>
            </w:r>
            <w:r>
              <w:rPr>
                <w:spacing w:val="13"/>
                <w:sz w:val="15"/>
                <w:szCs w:val="15"/>
              </w:rPr>
              <w:t>、乒乓球、</w:t>
            </w:r>
          </w:p>
          <w:p>
            <w:pPr>
              <w:pStyle w:val="6"/>
              <w:spacing w:before="6" w:line="237" w:lineRule="auto"/>
              <w:ind w:left="30" w:right="15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羽毛球场馆，组织区内全民健身活动，社会体育指导员培训，健身器材管理良好，活跃群众文化生活，让群众参与文化、享受文化、维护社区文化活动中心费用开</w:t>
            </w:r>
          </w:p>
          <w:p>
            <w:pPr>
              <w:pStyle w:val="6"/>
              <w:spacing w:before="8" w:line="183" w:lineRule="auto"/>
              <w:ind w:left="29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放，提升水平加快构建现代化公共文化服务体系，加大</w:t>
            </w:r>
          </w:p>
        </w:tc>
        <w:tc>
          <w:tcPr>
            <w:tcW w:w="780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2" w:right="84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76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8" w:line="237" w:lineRule="auto"/>
              <w:ind w:left="32" w:right="69"/>
              <w:jc w:val="both"/>
              <w:rPr>
                <w:sz w:val="15"/>
                <w:szCs w:val="15"/>
              </w:rPr>
            </w:pPr>
            <w:r>
              <w:rPr>
                <w:spacing w:val="11"/>
                <w:sz w:val="15"/>
                <w:szCs w:val="15"/>
              </w:rPr>
              <w:t>服务对象满意度指</w:t>
            </w:r>
            <w:r>
              <w:rPr>
                <w:spacing w:val="2"/>
                <w:sz w:val="15"/>
                <w:szCs w:val="15"/>
              </w:rPr>
              <w:t>标</w:t>
            </w:r>
          </w:p>
        </w:tc>
        <w:tc>
          <w:tcPr>
            <w:tcW w:w="116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2" w:right="143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</w:rPr>
              <w:t>全区群众满意</w:t>
            </w:r>
            <w:r>
              <w:rPr>
                <w:spacing w:val="3"/>
                <w:sz w:val="15"/>
                <w:szCs w:val="15"/>
              </w:rPr>
              <w:t>度</w:t>
            </w:r>
          </w:p>
        </w:tc>
        <w:tc>
          <w:tcPr>
            <w:tcW w:w="78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2" w:lineRule="exact"/>
              <w:ind w:left="49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≥</w:t>
            </w:r>
          </w:p>
        </w:tc>
        <w:tc>
          <w:tcPr>
            <w:tcW w:w="12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1" w:lineRule="auto"/>
              <w:ind w:left="1054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90</w:t>
            </w:r>
          </w:p>
        </w:tc>
        <w:tc>
          <w:tcPr>
            <w:tcW w:w="5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04" w:lineRule="exact"/>
              <w:ind w:left="30"/>
              <w:rPr>
                <w:sz w:val="15"/>
                <w:szCs w:val="15"/>
              </w:rPr>
            </w:pPr>
            <w:r>
              <w:rPr>
                <w:spacing w:val="2"/>
                <w:position w:val="1"/>
                <w:sz w:val="15"/>
                <w:szCs w:val="15"/>
              </w:rPr>
              <w:t>%</w:t>
            </w:r>
          </w:p>
        </w:tc>
        <w:tc>
          <w:tcPr>
            <w:tcW w:w="238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0" w:lineRule="auto"/>
              <w:ind w:left="35"/>
              <w:rPr>
                <w:sz w:val="15"/>
                <w:szCs w:val="15"/>
              </w:rPr>
            </w:pPr>
            <w:r>
              <w:rPr>
                <w:spacing w:val="14"/>
                <w:sz w:val="15"/>
                <w:szCs w:val="15"/>
              </w:rPr>
              <w:t>提升群众基本文化需求幸福感</w:t>
            </w:r>
          </w:p>
        </w:tc>
        <w:tc>
          <w:tcPr>
            <w:tcW w:w="197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36" w:lineRule="auto"/>
              <w:ind w:left="38" w:right="125"/>
              <w:rPr>
                <w:sz w:val="15"/>
                <w:szCs w:val="15"/>
              </w:rPr>
            </w:pPr>
            <w:r>
              <w:rPr>
                <w:spacing w:val="13"/>
                <w:sz w:val="15"/>
                <w:szCs w:val="15"/>
              </w:rPr>
              <w:t>未完成目标值，每少完成</w:t>
            </w:r>
            <w:r>
              <w:rPr>
                <w:spacing w:val="12"/>
                <w:sz w:val="15"/>
                <w:szCs w:val="15"/>
              </w:rPr>
              <w:t>一项扣0.1分</w:t>
            </w: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3" w:line="184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注：本表反映部门本年度的整体支出绩效目标具体情况。本表金额转换为万元时，因四舍五入</w:t>
      </w:r>
      <w:r>
        <w:rPr>
          <w:rFonts w:ascii="宋体" w:hAnsi="宋体" w:eastAsia="宋体" w:cs="宋体"/>
          <w:spacing w:val="-1"/>
          <w:sz w:val="18"/>
          <w:szCs w:val="18"/>
        </w:rPr>
        <w:t>可能存在尾数误差。</w:t>
      </w:r>
    </w:p>
    <w:sectPr>
      <w:type w:val="continuous"/>
      <w:pgSz w:w="25229" w:h="18256"/>
      <w:pgMar w:top="1011" w:right="305" w:bottom="0" w:left="547" w:header="0" w:footer="0" w:gutter="0"/>
      <w:cols w:equalWidth="0" w:num="1">
        <w:col w:w="243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I0NWZjZjE3YWEzNTk0YTU4NTgwNjFiNWQ0MTlhZTYifQ=="/>
    <w:docVar w:name="KSO_WPS_MARK_KEY" w:val="c2ef2a41-c137-44da-b76b-db6b70e66319"/>
  </w:docVars>
  <w:rsids>
    <w:rsidRoot w:val="00000000"/>
    <w:rsid w:val="112812B5"/>
    <w:rsid w:val="169A76B5"/>
    <w:rsid w:val="1F377FE1"/>
    <w:rsid w:val="2F00346D"/>
    <w:rsid w:val="361A06FC"/>
    <w:rsid w:val="36A36989"/>
    <w:rsid w:val="371E5A29"/>
    <w:rsid w:val="642262C6"/>
    <w:rsid w:val="78926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42</Pages>
  <Words>14918</Words>
  <Characters>17319</Characters>
  <TotalTime>4</TotalTime>
  <ScaleCrop>false</ScaleCrop>
  <LinksUpToDate>false</LinksUpToDate>
  <CharactersWithSpaces>18076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2024-02-21T14:52:00Z</dcterms:created>
  <dc:creator>admin</dc:creator>
  <cp:lastModifiedBy>陈艳玲</cp:lastModifiedBy>
  <dcterms:modified xsi:type="dcterms:W3CDTF">2024-02-22T02:13:15Z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2024-02-22T09:41:21Z</vt:filetime>
  </property>
  <property fmtid="{D5CDD505-2E9C-101B-9397-08002B2CF9AE}" pid="4" name="KSOProductBuildVer">
    <vt:lpwstr>2052-12.1.0.15374</vt:lpwstr>
  </property>
  <property fmtid="{D5CDD505-2E9C-101B-9397-08002B2CF9AE}" pid="5" name="ICV">
    <vt:lpwstr>A4B084DBF55E4991A8BB742D44612E91_13</vt:lpwstr>
  </property>
</Properties>
</file>