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color w:val="000000" w:themeColor="text1"/>
          <w:kern w:val="0"/>
          <w:sz w:val="48"/>
          <w:szCs w:val="48"/>
          <w14:textFill>
            <w14:solidFill>
              <w14:schemeClr w14:val="tx1"/>
            </w14:solidFill>
          </w14:textFill>
        </w:rPr>
      </w:pPr>
      <w:r>
        <w:rPr>
          <w:rFonts w:hint="eastAsia" w:ascii="仿宋" w:hAnsi="仿宋" w:eastAsia="仿宋" w:cs="仿宋"/>
          <w:b/>
          <w:bCs/>
          <w:kern w:val="0"/>
          <w:sz w:val="48"/>
          <w:szCs w:val="48"/>
        </w:rPr>
        <w:t>2021</w:t>
      </w:r>
      <w:bookmarkStart w:id="0" w:name="_GoBack"/>
      <w:r>
        <w:rPr>
          <w:rFonts w:hint="eastAsia" w:ascii="仿宋" w:hAnsi="仿宋" w:eastAsia="仿宋" w:cs="仿宋"/>
          <w:b/>
          <w:bCs/>
          <w:color w:val="000000" w:themeColor="text1"/>
          <w:kern w:val="0"/>
          <w:sz w:val="48"/>
          <w:szCs w:val="48"/>
          <w14:textFill>
            <w14:solidFill>
              <w14:schemeClr w14:val="tx1"/>
            </w14:solidFill>
          </w14:textFill>
        </w:rPr>
        <w:t>年长沙市开福区退役军人事务局部门预算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color w:val="000000" w:themeColor="text1"/>
          <w:kern w:val="0"/>
          <w:sz w:val="48"/>
          <w:szCs w:val="4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color w:val="000000" w:themeColor="text1"/>
          <w:kern w:val="0"/>
          <w:sz w:val="36"/>
          <w:szCs w:val="36"/>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（一）职能职责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1.贯彻执行党和国家关于退役军人思想政治、管理保障和安置优抚工作政策。拟定全区退役军人事业发展规划和政策，并组织实施。指导全区退役军人事务工作的改革与发展。  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负责全区军队计划分配转业干部、自主择业干部、复员干部、离休退休干部、退役士兵和无军籍退休退职职工的移交安置工作。承担全区机关事业单位随军随调家属安置工作。协助军队现役干部转改文职人员落户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3.负责全区自主择业军转干部、军队离休退休干部和自主就业退役士兵的管理服务工作。协调扶持退役军人和随军随调家属就业创业培训和服务。</w:t>
      </w:r>
      <w:r>
        <w:rPr>
          <w:rFonts w:ascii="Calibri" w:hAnsi="Calibri" w:eastAsia="仿宋" w:cs="Calibri"/>
          <w:bCs/>
          <w:color w:val="000000" w:themeColor="text1"/>
          <w:sz w:val="32"/>
          <w:szCs w:val="32"/>
          <w14:textFill>
            <w14:solidFill>
              <w14:schemeClr w14:val="tx1"/>
            </w14:solidFill>
          </w14:textFill>
        </w:rPr>
        <w:t> </w:t>
      </w:r>
      <w:r>
        <w:rPr>
          <w:rFonts w:hint="eastAsia" w:ascii="仿宋" w:hAnsi="仿宋" w:eastAsia="仿宋" w:cs="仿宋"/>
          <w:bCs/>
          <w:color w:val="000000" w:themeColor="text1"/>
          <w:sz w:val="32"/>
          <w:szCs w:val="32"/>
          <w14:textFill>
            <w14:solidFill>
              <w14:schemeClr w14:val="tx1"/>
            </w14:solidFill>
          </w14:textFill>
        </w:rPr>
        <w:t>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贯彻落实企业军转干部、企业复员老战士解困政策和复退军人权益保障政策，加强退役军人思想政治工作和服务保障政策，加强退役军人思想政治工作和服务保障体系建设，会同区有关部门协同做好军人军属的权益维护。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5.负责协调落实移交本区的离休退休军人、符合条件的其他退役军人的住房保障工作，以及退役军人医疗保障、社会保险等待遇保障工作。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6.负责全区军休干部的服务管理工作。落实军队离休退休干部和无军籍退职退休职工有关政治、生活待遇。  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7.组织和指导全区的拥军优属、拥政爱民工作。负责全区双拥模范单位（双拥城）创建工作。负责全区现役军人、退役军人、军队文职人员和军属优待、抚恤等工作。督促检查双拥政策、法规的落实。  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8.负责全区烈士及退役军人荣誉奖励、军人公墓管理维护、纪念活动等工作，依法承担英雄烈士保护相关工作。指导全区优抚事业单位做好相关服务保障工作。承担全区不适宜继续服役的伤病残军人相关工作。贯彻落实国家、省、市关于国民党抗战老兵等有关人员优待政策。</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9.负责全区退役军人身份信息统计工作，建立完善统一的退役军人信息网络和信息服务系统。建立完善并维护全区退役军人等相关数据库。</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10.指导并监督检查退役军人相关法律法规和政策措施的落实。开展全区退役军人权益和有关人员的帮扶援助工作。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11.承办区委、区政府的其他任务。  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12.职能转变。区退役军人局应加强退役军人思想政治工作和服务保障体系建设，建立健全集中统一、职责清晰的退役军人管理保障体制、协调各方力量更好为军人军属服务，维护军人合法权益，让军人成为全社会尊崇的职业，褒扬彰显退役军人为党、国家和人民牺牲奉献的精神风范和价值导向，更好地为增强部队战斗力和凝聚力做好组织保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（二）人员情况。</w:t>
      </w:r>
      <w:r>
        <w:rPr>
          <w:rFonts w:hint="eastAsia" w:ascii="仿宋" w:hAnsi="仿宋" w:eastAsia="仿宋" w:cs="仿宋"/>
          <w:bCs/>
          <w:color w:val="000000" w:themeColor="text1"/>
          <w:sz w:val="32"/>
          <w:szCs w:val="32"/>
          <w14:textFill>
            <w14:solidFill>
              <w14:schemeClr w14:val="tx1"/>
            </w14:solidFill>
          </w14:textFill>
        </w:rPr>
        <w:t>本单位编制数6人，在职人数7人；下辖二级机构编制数6人，在职人数5人，空编1人；另有政府雇员1人，编外长期聘用人员12人。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（三）机构设置。</w:t>
      </w:r>
      <w:r>
        <w:rPr>
          <w:rFonts w:hint="eastAsia" w:ascii="仿宋" w:hAnsi="仿宋" w:eastAsia="仿宋" w:cs="仿宋"/>
          <w:bCs/>
          <w:color w:val="000000" w:themeColor="text1"/>
          <w:sz w:val="32"/>
          <w:szCs w:val="32"/>
          <w14:textFill>
            <w14:solidFill>
              <w14:schemeClr w14:val="tx1"/>
            </w14:solidFill>
          </w14:textFill>
        </w:rPr>
        <w:t>本单位为行政单位，下辖二级机构一家（开福区退役军人服务中心，系公益性一类事业单位）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纳入2021年部门预算编制范围的是区退役军人事务局本级，区退役军人服务中心为非财务独立核算单位。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000000" w:themeColor="text1"/>
          <w:kern w:val="0"/>
          <w:sz w:val="32"/>
          <w:szCs w:val="32"/>
          <w14:textFill>
            <w14:solidFill>
              <w14:schemeClr w14:val="tx1"/>
            </w14:solidFill>
          </w14:textFill>
        </w:rPr>
      </w:pPr>
      <w:r>
        <w:rPr>
          <w:rFonts w:hint="eastAsia" w:eastAsia="黑体"/>
          <w:bCs/>
          <w:color w:val="000000" w:themeColor="text1"/>
          <w:kern w:val="0"/>
          <w:sz w:val="32"/>
          <w:szCs w:val="32"/>
          <w14:textFill>
            <w14:solidFill>
              <w14:schemeClr w14:val="tx1"/>
            </w14:solidFill>
          </w14:textFill>
        </w:rPr>
        <w:t>三、</w:t>
      </w:r>
      <w:r>
        <w:rPr>
          <w:rFonts w:eastAsia="黑体"/>
          <w:bCs/>
          <w:color w:val="000000" w:themeColor="text1"/>
          <w:kern w:val="0"/>
          <w:sz w:val="32"/>
          <w:szCs w:val="32"/>
          <w14:textFill>
            <w14:solidFill>
              <w14:schemeClr w14:val="tx1"/>
            </w14:solidFill>
          </w14:textFill>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2021年部门预算包括本级预算的汇总情况。收入既包括一般公共预算收入、政府性基金收入和国有资本经营预算收入，又包括事业单位经营服务等收入；支出既包括保障局机关及局属事业单位基本运行的经费，也包括面向全区分配的退役安置经费、伤残抚恤经费、在乡复员退伍军人生活补助、军休职工工资及津补贴、拥军优属经费、其他退役安置支出经费、其他退役军人事务管理支出经费、优抚对象医疗救助等专项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（一）收入预算：</w:t>
      </w:r>
      <w:r>
        <w:rPr>
          <w:rFonts w:hint="eastAsia" w:ascii="仿宋" w:hAnsi="仿宋" w:eastAsia="仿宋" w:cs="仿宋"/>
          <w:bCs/>
          <w:color w:val="000000" w:themeColor="text1"/>
          <w:sz w:val="32"/>
          <w:szCs w:val="32"/>
          <w14:textFill>
            <w14:solidFill>
              <w14:schemeClr w14:val="tx1"/>
            </w14:solidFill>
          </w14:textFill>
        </w:rPr>
        <w:t>2021年预算数12741.44万元，其中，一般公共预算拨款12741.44万元，政府性基金拨款0万元，纳入专户管理的非税收入0万元，事业单位经营服务收入0万元。本年收入预算数比上年增加1152.12万元，增长9.94%。主要是军队移交政府的离退休人员安置经费的增加。</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（二）支出预算：</w:t>
      </w:r>
      <w:r>
        <w:rPr>
          <w:rFonts w:hint="eastAsia" w:ascii="仿宋" w:hAnsi="仿宋" w:eastAsia="仿宋" w:cs="仿宋"/>
          <w:bCs/>
          <w:color w:val="000000" w:themeColor="text1"/>
          <w:sz w:val="32"/>
          <w:szCs w:val="32"/>
          <w14:textFill>
            <w14:solidFill>
              <w14:schemeClr w14:val="tx1"/>
            </w14:solidFill>
          </w14:textFill>
        </w:rPr>
        <w:t>2021年预算数12741.44万元，其中，社会保障和就业支出12649.85万元，医疗卫生与计划生育支出60万元，住房保障支出31.59万元。本年支出预算数比上年增加1152.12万元，增长9.94%。主要是军队移交政府的离退休人员安置经费的增加。</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2021年一般公共预算拨款收入12741.44万元，</w:t>
      </w:r>
      <w:r>
        <w:rPr>
          <w:rFonts w:hint="eastAsia" w:ascii="仿宋" w:hAnsi="仿宋" w:eastAsia="仿宋" w:cs="仿宋"/>
          <w:color w:val="000000" w:themeColor="text1"/>
          <w:sz w:val="32"/>
          <w:szCs w:val="32"/>
          <w14:textFill>
            <w14:solidFill>
              <w14:schemeClr w14:val="tx1"/>
            </w14:solidFill>
          </w14:textFill>
        </w:rPr>
        <w:t>其中，</w:t>
      </w:r>
      <w:r>
        <w:rPr>
          <w:rFonts w:hint="eastAsia" w:eastAsia="仿宋_GB2312"/>
          <w:color w:val="000000" w:themeColor="text1"/>
          <w:sz w:val="32"/>
          <w:szCs w:val="32"/>
          <w14:textFill>
            <w14:solidFill>
              <w14:schemeClr w14:val="tx1"/>
            </w14:solidFill>
          </w14:textFill>
        </w:rPr>
        <w:t>社会保障和就业</w:t>
      </w: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2649.85</w:t>
      </w:r>
      <w:r>
        <w:rPr>
          <w:rFonts w:hint="eastAsia" w:ascii="仿宋" w:hAnsi="仿宋" w:eastAsia="仿宋" w:cs="仿宋"/>
          <w:color w:val="000000" w:themeColor="text1"/>
          <w:sz w:val="32"/>
          <w:szCs w:val="32"/>
          <w14:textFill>
            <w14:solidFill>
              <w14:schemeClr w14:val="tx1"/>
            </w14:solidFill>
          </w14:textFill>
        </w:rPr>
        <w:t>万元</w:t>
      </w:r>
      <w:r>
        <w:rPr>
          <w:rFonts w:hint="eastAsia" w:eastAsia="仿宋_GB2312"/>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占</w:t>
      </w:r>
      <w:r>
        <w:rPr>
          <w:rFonts w:ascii="仿宋" w:hAnsi="仿宋" w:eastAsia="仿宋" w:cs="仿宋"/>
          <w:color w:val="000000" w:themeColor="text1"/>
          <w:sz w:val="32"/>
          <w:szCs w:val="32"/>
          <w14:textFill>
            <w14:solidFill>
              <w14:schemeClr w14:val="tx1"/>
            </w14:solidFill>
          </w14:textFill>
        </w:rPr>
        <w:t>99.28</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医疗卫生与计划生育支出</w:t>
      </w:r>
      <w:r>
        <w:rPr>
          <w:rFonts w:ascii="仿宋" w:hAnsi="仿宋" w:eastAsia="仿宋" w:cs="仿宋"/>
          <w:color w:val="000000" w:themeColor="text1"/>
          <w:sz w:val="32"/>
          <w:szCs w:val="32"/>
          <w14:textFill>
            <w14:solidFill>
              <w14:schemeClr w14:val="tx1"/>
            </w14:solidFill>
          </w14:textFill>
        </w:rPr>
        <w:t>60</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占</w:t>
      </w:r>
      <w:r>
        <w:rPr>
          <w:rFonts w:ascii="仿宋" w:hAnsi="仿宋" w:eastAsia="仿宋" w:cs="仿宋"/>
          <w:color w:val="000000" w:themeColor="text1"/>
          <w:sz w:val="32"/>
          <w:szCs w:val="32"/>
          <w14:textFill>
            <w14:solidFill>
              <w14:schemeClr w14:val="tx1"/>
            </w14:solidFill>
          </w14:textFill>
        </w:rPr>
        <w:t>0.47</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ascii="仿宋" w:hAnsi="仿宋" w:eastAsia="仿宋" w:cs="仿宋"/>
          <w:color w:val="000000" w:themeColor="text1"/>
          <w:sz w:val="32"/>
          <w:szCs w:val="32"/>
          <w14:textFill>
            <w14:solidFill>
              <w14:schemeClr w14:val="tx1"/>
            </w14:solidFill>
          </w14:textFill>
        </w:rPr>
        <w:t>31.59</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olor w:val="000000" w:themeColor="text1"/>
          <w:sz w:val="32"/>
          <w:szCs w:val="32"/>
          <w14:textFill>
            <w14:solidFill>
              <w14:schemeClr w14:val="tx1"/>
            </w14:solidFill>
          </w14:textFill>
        </w:rPr>
        <w:t>占</w:t>
      </w:r>
      <w:r>
        <w:rPr>
          <w:rFonts w:ascii="仿宋" w:hAnsi="仿宋" w:eastAsia="仿宋" w:cs="仿宋"/>
          <w:color w:val="000000" w:themeColor="text1"/>
          <w:sz w:val="32"/>
          <w:szCs w:val="32"/>
          <w14:textFill>
            <w14:solidFill>
              <w14:schemeClr w14:val="tx1"/>
            </w14:solidFill>
          </w14:textFill>
        </w:rPr>
        <w:t>0.25</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（一）基本支出：</w:t>
      </w:r>
      <w:r>
        <w:rPr>
          <w:rFonts w:hint="eastAsia" w:ascii="仿宋" w:hAnsi="仿宋" w:eastAsia="仿宋" w:cs="仿宋"/>
          <w:bCs/>
          <w:color w:val="000000" w:themeColor="text1"/>
          <w:sz w:val="32"/>
          <w:szCs w:val="32"/>
          <w14:textFill>
            <w14:solidFill>
              <w14:schemeClr w14:val="tx1"/>
            </w14:solidFill>
          </w14:textFill>
        </w:rPr>
        <w:t>2021年预算数为461.69万元，是指为保障单位机构正常运转、完成日常工作任务而发生的各项支出，包括用于基本工资、津贴补贴等人员经费以及办公费、印刷费、水电费、办公设备购置等日常公用经费。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（二）项目支出：</w:t>
      </w:r>
      <w:r>
        <w:rPr>
          <w:rFonts w:hint="eastAsia" w:ascii="仿宋" w:hAnsi="仿宋" w:eastAsia="仿宋" w:cs="仿宋"/>
          <w:bCs/>
          <w:color w:val="000000" w:themeColor="text1"/>
          <w:sz w:val="32"/>
          <w:szCs w:val="32"/>
          <w14:textFill>
            <w14:solidFill>
              <w14:schemeClr w14:val="tx1"/>
            </w14:solidFill>
          </w14:textFill>
        </w:rPr>
        <w:t>2021年预算数为12279.75万元，是指单位为完成特定行政工作任务或事业发展目标而发生的支出，其中：伤残抚恤金专项经费2300万元，主要用于伤残军人优抚金，军人病故一次性抚恤金，各类优抚对象补助；退役士兵安置专项经费1000万元，主要用于义务兵优待金发放，大学生入伍一次性奖励等；军队移交政府离退休人员安置经费6300万元，主要用于军队移交政府离退休人员工资福利等支出；其他退役安置支出1800万元，主要用于再就业解困等其他退役安置支出；</w:t>
      </w:r>
      <w:r>
        <w:rPr>
          <w:rFonts w:hint="eastAsia" w:ascii="仿宋" w:hAnsi="仿宋" w:eastAsia="仿宋" w:cs="仿宋"/>
          <w:bCs/>
          <w:color w:val="000000" w:themeColor="text1"/>
          <w:sz w:val="32"/>
          <w:szCs w:val="32"/>
          <w:highlight w:val="none"/>
          <w14:textFill>
            <w14:solidFill>
              <w14:schemeClr w14:val="tx1"/>
            </w14:solidFill>
          </w14:textFill>
        </w:rPr>
        <w:t>一般行政管理事务支出229.75万元，主要用于退役军人后勤保障经费以及服务保障体系运转经费；拥军优属经费165万</w:t>
      </w:r>
      <w:r>
        <w:rPr>
          <w:rFonts w:hint="eastAsia" w:ascii="仿宋" w:hAnsi="仿宋" w:eastAsia="仿宋" w:cs="仿宋"/>
          <w:bCs/>
          <w:color w:val="000000" w:themeColor="text1"/>
          <w:sz w:val="32"/>
          <w:szCs w:val="32"/>
          <w14:textFill>
            <w14:solidFill>
              <w14:schemeClr w14:val="tx1"/>
            </w14:solidFill>
          </w14:textFill>
        </w:rPr>
        <w:t>元，主要用于八一慰问等拥军优属支出；其他退役军人事务管理支出经费425万元，主要用于退役士官补助等其他退役军人事务管理支出；优抚对象医疗补助经费60万元，主要用于优抚对象医疗补助支出。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六、其他重要事项的情况说明</w:t>
      </w:r>
    </w:p>
    <w:p>
      <w:pPr>
        <w:widowControl/>
        <w:spacing w:line="600" w:lineRule="exact"/>
        <w:ind w:firstLine="66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（一）机关运行经费：</w:t>
      </w:r>
      <w:r>
        <w:rPr>
          <w:rFonts w:hint="eastAsia" w:ascii="仿宋" w:hAnsi="仿宋" w:eastAsia="仿宋" w:cs="仿宋"/>
          <w:bCs/>
          <w:color w:val="000000" w:themeColor="text1"/>
          <w:sz w:val="32"/>
          <w:szCs w:val="32"/>
          <w14:textFill>
            <w14:solidFill>
              <w14:schemeClr w14:val="tx1"/>
            </w14:solidFill>
          </w14:textFill>
        </w:rPr>
        <w:t>2021年机关运行经费财政拨款预算40.26万，本单位2020年机关运行经费财政拨款预算33.93万，</w:t>
      </w:r>
      <w:r>
        <w:rPr>
          <w:rFonts w:hint="eastAsia" w:ascii="仿宋" w:hAnsi="仿宋" w:eastAsia="仿宋" w:cs="仿宋"/>
          <w:color w:val="000000" w:themeColor="text1"/>
          <w:sz w:val="32"/>
          <w:szCs w:val="32"/>
          <w14:textFill>
            <w14:solidFill>
              <w14:schemeClr w14:val="tx1"/>
            </w14:solidFill>
          </w14:textFill>
        </w:rPr>
        <w:t>比上年预算增加6</w:t>
      </w:r>
      <w:r>
        <w:rPr>
          <w:rFonts w:ascii="仿宋" w:hAnsi="仿宋" w:eastAsia="仿宋" w:cs="仿宋"/>
          <w:color w:val="000000" w:themeColor="text1"/>
          <w:sz w:val="32"/>
          <w:szCs w:val="32"/>
          <w14:textFill>
            <w14:solidFill>
              <w14:schemeClr w14:val="tx1"/>
            </w14:solidFill>
          </w14:textFill>
        </w:rPr>
        <w:t>.33</w:t>
      </w:r>
      <w:r>
        <w:rPr>
          <w:rFonts w:hint="eastAsia" w:ascii="仿宋" w:hAnsi="仿宋" w:eastAsia="仿宋" w:cs="仿宋"/>
          <w:color w:val="000000" w:themeColor="text1"/>
          <w:sz w:val="32"/>
          <w:szCs w:val="32"/>
          <w14:textFill>
            <w14:solidFill>
              <w14:schemeClr w14:val="tx1"/>
            </w14:solidFill>
          </w14:textFill>
        </w:rPr>
        <w:t>万元，1</w:t>
      </w:r>
      <w:r>
        <w:rPr>
          <w:rFonts w:ascii="仿宋" w:hAnsi="仿宋" w:eastAsia="仿宋" w:cs="仿宋"/>
          <w:color w:val="000000" w:themeColor="text1"/>
          <w:sz w:val="32"/>
          <w:szCs w:val="32"/>
          <w14:textFill>
            <w14:solidFill>
              <w14:schemeClr w14:val="tx1"/>
            </w14:solidFill>
          </w14:textFill>
        </w:rPr>
        <w:t>9.66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主要是人员调入以及新增事业编工作人员交通补贴。</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（二）“三公”经费预算：</w:t>
      </w:r>
      <w:r>
        <w:rPr>
          <w:rFonts w:hint="eastAsia" w:ascii="仿宋" w:hAnsi="仿宋" w:eastAsia="仿宋" w:cs="仿宋"/>
          <w:bCs/>
          <w:color w:val="000000" w:themeColor="text1"/>
          <w:sz w:val="32"/>
          <w:szCs w:val="32"/>
          <w14:textFill>
            <w14:solidFill>
              <w14:schemeClr w14:val="tx1"/>
            </w14:solidFill>
          </w14:textFill>
        </w:rPr>
        <w:t>2021年“三公”经费预算数为0.2万元，其中，公务接待费0.2万元，公务用车购置及运行费0万元</w:t>
      </w:r>
      <w:r>
        <w:rPr>
          <w:rFonts w:hint="eastAsia" w:ascii="仿宋" w:hAnsi="仿宋" w:eastAsia="仿宋" w:cs="仿宋"/>
          <w:color w:val="000000" w:themeColor="text1"/>
          <w:sz w:val="32"/>
          <w:szCs w:val="32"/>
          <w14:textFill>
            <w14:solidFill>
              <w14:schemeClr w14:val="tx1"/>
            </w14:solidFill>
          </w14:textFill>
        </w:rPr>
        <w:t>（其中，公务用车购置费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万元，公务用车运行费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bCs/>
          <w:color w:val="000000" w:themeColor="text1"/>
          <w:sz w:val="32"/>
          <w:szCs w:val="32"/>
          <w14:textFill>
            <w14:solidFill>
              <w14:schemeClr w14:val="tx1"/>
            </w14:solidFill>
          </w14:textFill>
        </w:rPr>
        <w:t>，因公出国（境）费0万元。</w:t>
      </w:r>
      <w:r>
        <w:rPr>
          <w:rFonts w:hint="eastAsia" w:ascii="仿宋" w:hAnsi="仿宋" w:eastAsia="仿宋" w:cs="仿宋"/>
          <w:color w:val="000000" w:themeColor="text1"/>
          <w:sz w:val="32"/>
          <w:szCs w:val="32"/>
          <w14:textFill>
            <w14:solidFill>
              <w14:schemeClr w14:val="tx1"/>
            </w14:solidFill>
          </w14:textFill>
        </w:rPr>
        <w:t>2021年“三公”经费预算较2020年减少0</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bCs/>
          <w:color w:val="000000" w:themeColor="text1"/>
          <w:sz w:val="32"/>
          <w:szCs w:val="32"/>
          <w14:textFill>
            <w14:solidFill>
              <w14:schemeClr w14:val="tx1"/>
            </w14:solidFill>
          </w14:textFill>
        </w:rPr>
        <w:t>主要原因是积极落实厉行节约的要求，从严控制公务接待行为。</w:t>
      </w:r>
    </w:p>
    <w:p>
      <w:pPr>
        <w:widowControl/>
        <w:spacing w:line="600" w:lineRule="exact"/>
        <w:ind w:firstLine="66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（三）一般性支出情况：</w:t>
      </w:r>
      <w:r>
        <w:rPr>
          <w:rFonts w:hint="eastAsia" w:ascii="仿宋" w:hAnsi="仿宋" w:eastAsia="仿宋" w:cs="仿宋"/>
          <w:bCs/>
          <w:color w:val="000000" w:themeColor="text1"/>
          <w:sz w:val="32"/>
          <w:szCs w:val="32"/>
          <w:highlight w:val="none"/>
          <w:u w:val="none"/>
          <w14:textFill>
            <w14:solidFill>
              <w14:schemeClr w14:val="tx1"/>
            </w14:solidFill>
          </w14:textFill>
        </w:rPr>
        <w:t>2021</w:t>
      </w:r>
      <w:r>
        <w:rPr>
          <w:rFonts w:hint="eastAsia" w:ascii="仿宋" w:hAnsi="仿宋" w:eastAsia="仿宋" w:cs="仿宋"/>
          <w:color w:val="000000" w:themeColor="text1"/>
          <w:kern w:val="0"/>
          <w:sz w:val="32"/>
          <w:szCs w:val="32"/>
          <w:highlight w:val="none"/>
          <w:u w:val="none"/>
          <w14:textFill>
            <w14:solidFill>
              <w14:schemeClr w14:val="tx1"/>
            </w14:solidFill>
          </w14:textFill>
        </w:rPr>
        <w:t>年本部门会议费预算</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万元</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培训费预算</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万元</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w:t>
      </w:r>
      <w:r>
        <w:rPr>
          <w:rFonts w:hint="eastAsia" w:ascii="仿宋" w:hAnsi="仿宋" w:eastAsia="仿宋" w:cs="仿宋"/>
          <w:color w:val="000000" w:themeColor="text1"/>
          <w:kern w:val="0"/>
          <w:sz w:val="32"/>
          <w:szCs w:val="32"/>
          <w:highlight w:val="none"/>
          <w:u w:val="none"/>
          <w:lang w:val="en-US" w:eastAsia="zh-CN"/>
          <w14:textFill>
            <w14:solidFill>
              <w14:schemeClr w14:val="tx1"/>
            </w14:solidFill>
          </w14:textFill>
        </w:rPr>
        <w:t>未</w:t>
      </w:r>
      <w:r>
        <w:rPr>
          <w:rFonts w:hint="eastAsia" w:ascii="仿宋" w:hAnsi="仿宋" w:eastAsia="仿宋" w:cs="仿宋"/>
          <w:color w:val="000000" w:themeColor="text1"/>
          <w:kern w:val="0"/>
          <w:sz w:val="32"/>
          <w:szCs w:val="32"/>
          <w:highlight w:val="none"/>
          <w:u w:val="none"/>
          <w14:textFill>
            <w14:solidFill>
              <w14:schemeClr w14:val="tx1"/>
            </w14:solidFill>
          </w14:textFill>
        </w:rPr>
        <w:t>举办节庆、晚会、论坛、赛事活动。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（四）政府采购情况：</w:t>
      </w:r>
      <w:r>
        <w:rPr>
          <w:rFonts w:hint="eastAsia" w:ascii="仿宋" w:hAnsi="仿宋" w:eastAsia="仿宋" w:cs="仿宋"/>
          <w:bCs/>
          <w:color w:val="000000" w:themeColor="text1"/>
          <w:sz w:val="32"/>
          <w:szCs w:val="32"/>
          <w14:textFill>
            <w14:solidFill>
              <w14:schemeClr w14:val="tx1"/>
            </w14:solidFill>
          </w14:textFill>
        </w:rPr>
        <w:t>2021年我单位政府采购预算总额71.45万元，其中：公务车辆购置及运行费0万元，政府采购货物预算40万元，政府采购服务预算30万元，政府采购固定资产预算1.45万元。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（五）国有资产占用使用及新增资产配置情况：</w:t>
      </w:r>
      <w:r>
        <w:rPr>
          <w:rFonts w:hint="eastAsia" w:ascii="仿宋" w:hAnsi="仿宋" w:eastAsia="仿宋" w:cs="仿宋"/>
          <w:color w:val="000000" w:themeColor="text1"/>
          <w:sz w:val="32"/>
          <w:szCs w:val="32"/>
          <w14:textFill>
            <w14:solidFill>
              <w14:schemeClr w14:val="tx1"/>
            </w14:solidFill>
          </w14:textFill>
        </w:rPr>
        <w:t>截至2020年12月底，本部门</w:t>
      </w:r>
      <w:r>
        <w:rPr>
          <w:rFonts w:hint="eastAsia" w:ascii="仿宋" w:hAnsi="仿宋" w:eastAsia="仿宋" w:cs="仿宋"/>
          <w:bCs/>
          <w:color w:val="000000" w:themeColor="text1"/>
          <w:kern w:val="0"/>
          <w:sz w:val="32"/>
          <w:szCs w:val="32"/>
          <w14:textFill>
            <w14:solidFill>
              <w14:schemeClr w14:val="tx1"/>
            </w14:solidFill>
          </w14:textFill>
        </w:rPr>
        <w:t>共有公务用车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辆，其中，机要通信用车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辆，应急保障用车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辆，执法执勤用车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辆，特种专业技术用车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辆，其他按照规定配备的公务用车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辆；单位价值50万元以上通用设备</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台，单位价值100万元以上专用设备</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台。2021年拟新增配置公务用车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辆，其中，机要通信用车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辆，应急保障用车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辆，执法执勤用车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辆，特种专业技术用车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辆，其他按照规定配备的公务用车</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辆；新增配备单位价值50万元以上通用设备</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台，单位价值100万元以上专用设备</w:t>
      </w:r>
      <w:r>
        <w:rPr>
          <w:rFonts w:ascii="仿宋" w:hAnsi="仿宋" w:eastAsia="仿宋" w:cs="仿宋"/>
          <w:bCs/>
          <w:color w:val="000000" w:themeColor="text1"/>
          <w:kern w:val="0"/>
          <w:sz w:val="32"/>
          <w:szCs w:val="32"/>
          <w14:textFill>
            <w14:solidFill>
              <w14:schemeClr w14:val="tx1"/>
            </w14:solidFill>
          </w14:textFill>
        </w:rPr>
        <w:t>0</w:t>
      </w:r>
      <w:r>
        <w:rPr>
          <w:rFonts w:hint="eastAsia" w:ascii="仿宋" w:hAnsi="仿宋" w:eastAsia="仿宋" w:cs="仿宋"/>
          <w:bCs/>
          <w:color w:val="000000" w:themeColor="text1"/>
          <w:kern w:val="0"/>
          <w:sz w:val="32"/>
          <w:szCs w:val="32"/>
          <w14:textFill>
            <w14:solidFill>
              <w14:schemeClr w14:val="tx1"/>
            </w14:solidFill>
          </w14:textFill>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（六）预算绩效目标说明：</w:t>
      </w:r>
      <w:r>
        <w:rPr>
          <w:rFonts w:hint="eastAsia" w:ascii="仿宋" w:hAnsi="仿宋" w:eastAsia="仿宋" w:cs="仿宋"/>
          <w:bCs/>
          <w:color w:val="000000" w:themeColor="text1"/>
          <w:sz w:val="32"/>
          <w:szCs w:val="32"/>
          <w14:textFill>
            <w14:solidFill>
              <w14:schemeClr w14:val="tx1"/>
            </w14:solidFill>
          </w14:textFill>
        </w:rPr>
        <w:t>2021年我单位整体支出绩效目标12741.44万元，其中：基本支出461.69万元，项目支出12279.75万元。社会保障和就业支出12649.85万元，医疗卫生与计划生育支出60万元，住房保障支出31.59万元。全部实行整体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000000" w:themeColor="text1"/>
          <w:kern w:val="0"/>
          <w:sz w:val="36"/>
          <w:szCs w:val="36"/>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p>
    <w:p>
      <w:pPr>
        <w:pStyle w:val="5"/>
        <w:widowControl/>
        <w:spacing w:before="24" w:beforeAutospacing="0" w:after="24" w:afterAutospacing="0" w:line="432" w:lineRule="atLeast"/>
        <w:ind w:firstLine="640" w:firstLineChars="200"/>
        <w:rPr>
          <w:rFonts w:ascii="仿宋" w:hAnsi="仿宋" w:eastAsia="仿宋" w:cs="仿宋"/>
          <w:bCs/>
          <w:color w:val="000000" w:themeColor="text1"/>
          <w:sz w:val="32"/>
          <w:szCs w:val="32"/>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ZGM5ZTNjMjcxNGY0Yjc3MTU3NDcxYWJhYTEyZGYifQ=="/>
  </w:docVars>
  <w:rsids>
    <w:rsidRoot w:val="4A801CFE"/>
    <w:rsid w:val="0017372C"/>
    <w:rsid w:val="002B1EA2"/>
    <w:rsid w:val="00373FEC"/>
    <w:rsid w:val="003D3C40"/>
    <w:rsid w:val="00450949"/>
    <w:rsid w:val="00552E48"/>
    <w:rsid w:val="006A7218"/>
    <w:rsid w:val="00931077"/>
    <w:rsid w:val="009B72FB"/>
    <w:rsid w:val="00EC604C"/>
    <w:rsid w:val="00FD2C7F"/>
    <w:rsid w:val="045739D7"/>
    <w:rsid w:val="3FB62779"/>
    <w:rsid w:val="4A801CFE"/>
    <w:rsid w:val="52927535"/>
    <w:rsid w:val="677F5814"/>
    <w:rsid w:val="7794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字符"/>
    <w:basedOn w:val="7"/>
    <w:link w:val="3"/>
    <w:qFormat/>
    <w:uiPriority w:val="99"/>
    <w:rPr>
      <w:kern w:val="2"/>
      <w:sz w:val="18"/>
      <w:szCs w:val="18"/>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3497</Words>
  <Characters>3775</Characters>
  <Lines>27</Lines>
  <Paragraphs>7</Paragraphs>
  <TotalTime>0</TotalTime>
  <ScaleCrop>false</ScaleCrop>
  <LinksUpToDate>false</LinksUpToDate>
  <CharactersWithSpaces>3780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2022-06-28T14:37:00Z</dcterms:created>
  <dc:creator>燕子</dc:creator>
  <cp:lastModifiedBy>Administrator</cp:lastModifiedBy>
  <dcterms:modified xsi:type="dcterms:W3CDTF">2022-08-19T02:04:01Z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75B75E6745F9475D9D3F805334F5629A</vt:lpwstr>
  </property>
</Properties>
</file>