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重点项目</w:t>
      </w:r>
      <w:r>
        <w:rPr>
          <w:rFonts w:hint="eastAsia" w:ascii="方正小标宋简体" w:eastAsia="方正小标宋简体"/>
          <w:sz w:val="44"/>
          <w:szCs w:val="44"/>
        </w:rPr>
        <w:t>绩效自评</w:t>
      </w:r>
      <w:r>
        <w:rPr>
          <w:rFonts w:hint="eastAsia" w:ascii="方正小标宋简体" w:eastAsia="方正小标宋简体"/>
          <w:sz w:val="44"/>
          <w:szCs w:val="44"/>
          <w:lang w:eastAsia="zh-CN"/>
        </w:rPr>
        <w:t>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0"/>
        <w:rPr>
          <w:rFonts w:ascii="Times New Roman" w:hAnsi="Times New Roman" w:eastAsia="黑体" w:cs="Times New Roman"/>
          <w:kern w:val="0"/>
          <w:sz w:val="32"/>
          <w:szCs w:val="32"/>
        </w:rPr>
      </w:pPr>
      <w:r>
        <w:rPr>
          <w:rFonts w:hint="eastAsia" w:ascii="仿宋_GB2312"/>
          <w:color w:val="000000"/>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项目支出</w:t>
      </w:r>
      <w:r>
        <w:rPr>
          <w:rFonts w:ascii="Times New Roman" w:hAnsi="Times New Roman" w:eastAsia="黑体" w:cs="Times New Roman"/>
          <w:sz w:val="32"/>
          <w:szCs w:val="32"/>
        </w:rPr>
        <w:t>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_GB2312" w:cs="Times New Roman"/>
          <w:b w:val="0"/>
          <w:bCs/>
          <w:sz w:val="32"/>
          <w:szCs w:val="32"/>
        </w:rPr>
      </w:pPr>
      <w:r>
        <w:rPr>
          <w:rFonts w:ascii="Times New Roman" w:hAnsi="Times New Roman" w:eastAsia="楷体_GB2312" w:cs="Times New Roman"/>
          <w:b w:val="0"/>
          <w:bCs/>
          <w:sz w:val="32"/>
          <w:szCs w:val="32"/>
        </w:rPr>
        <w:t>（一）</w:t>
      </w:r>
      <w:r>
        <w:rPr>
          <w:rFonts w:hint="eastAsia" w:ascii="Times New Roman" w:hAnsi="Times New Roman" w:eastAsia="楷体_GB2312" w:cs="Times New Roman"/>
          <w:b w:val="0"/>
          <w:bCs/>
          <w:sz w:val="32"/>
          <w:szCs w:val="32"/>
          <w:lang w:eastAsia="zh-CN"/>
        </w:rPr>
        <w:t>项目支出</w:t>
      </w:r>
      <w:r>
        <w:rPr>
          <w:rFonts w:ascii="Times New Roman" w:hAnsi="Times New Roman" w:eastAsia="楷体_GB2312" w:cs="Times New Roman"/>
          <w:b w:val="0"/>
          <w:bCs/>
          <w:sz w:val="32"/>
          <w:szCs w:val="32"/>
        </w:rPr>
        <w:t>资金概况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cs="Times New Roman"/>
          <w:sz w:val="32"/>
          <w:szCs w:val="32"/>
          <w:lang w:val="en-US" w:eastAsia="zh-CN"/>
        </w:rPr>
      </w:pPr>
      <w:r>
        <w:rPr>
          <w:rFonts w:hint="default" w:ascii="Times New Roman" w:hAnsi="Times New Roman" w:cs="Times New Roman"/>
          <w:sz w:val="32"/>
          <w:szCs w:val="32"/>
          <w:lang w:val="en-US" w:eastAsia="zh-CN"/>
        </w:rPr>
        <w:t>202</w:t>
      </w:r>
      <w:r>
        <w:rPr>
          <w:rFonts w:hint="eastAsia" w:cs="Times New Roman"/>
          <w:sz w:val="32"/>
          <w:szCs w:val="32"/>
          <w:lang w:val="en-US" w:eastAsia="zh-CN"/>
        </w:rPr>
        <w:t>2</w:t>
      </w:r>
      <w:r>
        <w:rPr>
          <w:rFonts w:hint="eastAsia" w:ascii="Times New Roman" w:hAnsi="Times New Roman" w:cs="Times New Roman"/>
          <w:sz w:val="32"/>
          <w:szCs w:val="32"/>
          <w:lang w:val="en-US" w:eastAsia="zh-CN"/>
        </w:rPr>
        <w:t>年我单位（局、部、中心）项目支出预算共</w:t>
      </w:r>
      <w:r>
        <w:rPr>
          <w:rFonts w:hint="eastAsia" w:ascii="Times New Roman" w:hAnsi="Times New Roman" w:cs="Times New Roman"/>
          <w:sz w:val="32"/>
          <w:szCs w:val="32"/>
          <w:u w:val="single"/>
          <w:lang w:val="en-US" w:eastAsia="zh-CN"/>
        </w:rPr>
        <w:t xml:space="preserve"> </w:t>
      </w:r>
      <w:r>
        <w:rPr>
          <w:rFonts w:hint="eastAsia" w:cs="宋体"/>
          <w:color w:val="000000"/>
          <w:kern w:val="0"/>
          <w:sz w:val="32"/>
          <w:szCs w:val="32"/>
          <w:highlight w:val="none"/>
          <w:u w:val="single"/>
          <w:lang w:val="en-US" w:eastAsia="zh-CN" w:bidi="ar-SA"/>
        </w:rPr>
        <w:t>540.91</w:t>
      </w:r>
      <w:r>
        <w:rPr>
          <w:rFonts w:hint="eastAsia" w:ascii="Times New Roman" w:hAnsi="Times New Roman" w:cs="Times New Roman"/>
          <w:sz w:val="32"/>
          <w:szCs w:val="32"/>
          <w:u w:val="single"/>
          <w:lang w:val="en-US" w:eastAsia="zh-CN"/>
        </w:rPr>
        <w:t xml:space="preserve"> </w:t>
      </w:r>
      <w:r>
        <w:rPr>
          <w:rFonts w:hint="eastAsia" w:ascii="Times New Roman" w:hAnsi="Times New Roman" w:cs="Times New Roman"/>
          <w:sz w:val="32"/>
          <w:szCs w:val="32"/>
          <w:lang w:val="en-US" w:eastAsia="zh-CN"/>
        </w:rPr>
        <w:t>万元，包含项目</w:t>
      </w:r>
      <w:r>
        <w:rPr>
          <w:rFonts w:hint="eastAsia" w:ascii="Times New Roman" w:hAnsi="Times New Roman" w:cs="Times New Roman"/>
          <w:sz w:val="32"/>
          <w:szCs w:val="32"/>
          <w:u w:val="single"/>
          <w:lang w:val="en-US" w:eastAsia="zh-CN"/>
        </w:rPr>
        <w:t xml:space="preserve"> 6 </w:t>
      </w:r>
      <w:r>
        <w:rPr>
          <w:rFonts w:hint="eastAsia" w:ascii="Times New Roman" w:hAnsi="Times New Roman" w:cs="Times New Roman"/>
          <w:sz w:val="32"/>
          <w:szCs w:val="32"/>
          <w:u w:val="none"/>
          <w:lang w:val="en-US" w:eastAsia="zh-CN"/>
        </w:rPr>
        <w:t>个，实际支出</w:t>
      </w:r>
      <w:r>
        <w:rPr>
          <w:rFonts w:hint="eastAsia" w:ascii="Times New Roman" w:hAnsi="Times New Roman" w:cs="Times New Roman"/>
          <w:sz w:val="32"/>
          <w:szCs w:val="32"/>
          <w:u w:val="single"/>
          <w:lang w:val="en-US" w:eastAsia="zh-CN"/>
        </w:rPr>
        <w:t xml:space="preserve"> </w:t>
      </w:r>
      <w:r>
        <w:rPr>
          <w:rFonts w:hint="eastAsia" w:cs="宋体"/>
          <w:color w:val="000000"/>
          <w:kern w:val="0"/>
          <w:sz w:val="32"/>
          <w:szCs w:val="32"/>
          <w:highlight w:val="none"/>
          <w:u w:val="single"/>
          <w:lang w:val="en-US" w:eastAsia="zh-CN" w:bidi="ar-SA"/>
        </w:rPr>
        <w:t>505.36</w:t>
      </w:r>
      <w:r>
        <w:rPr>
          <w:rFonts w:hint="eastAsia" w:ascii="Times New Roman" w:hAnsi="Times New Roman" w:cs="Times New Roman"/>
          <w:sz w:val="32"/>
          <w:szCs w:val="32"/>
          <w:u w:val="single"/>
          <w:lang w:val="en-US" w:eastAsia="zh-CN"/>
        </w:rPr>
        <w:t xml:space="preserve"> </w:t>
      </w:r>
      <w:r>
        <w:rPr>
          <w:rFonts w:hint="eastAsia" w:ascii="Times New Roman" w:hAnsi="Times New Roman" w:cs="Times New Roman"/>
          <w:sz w:val="32"/>
          <w:szCs w:val="32"/>
          <w:lang w:val="en-US" w:eastAsia="zh-CN"/>
        </w:rPr>
        <w:t>万元（</w:t>
      </w:r>
      <w:r>
        <w:rPr>
          <w:rFonts w:hint="eastAsia" w:ascii="Times New Roman" w:hAnsi="Times New Roman" w:cs="Times New Roman"/>
          <w:sz w:val="32"/>
          <w:szCs w:val="32"/>
          <w:lang w:eastAsia="zh-CN"/>
        </w:rPr>
        <w:t>业务工作经费</w:t>
      </w:r>
      <w:r>
        <w:rPr>
          <w:rFonts w:hint="eastAsia" w:ascii="Times New Roman" w:hAnsi="Times New Roman" w:cs="Times New Roman"/>
          <w:sz w:val="32"/>
          <w:szCs w:val="32"/>
          <w:u w:val="single"/>
          <w:lang w:val="en-US" w:eastAsia="zh-CN"/>
        </w:rPr>
        <w:t xml:space="preserve"> </w:t>
      </w:r>
      <w:r>
        <w:rPr>
          <w:rFonts w:hint="eastAsia" w:cs="Times New Roman"/>
          <w:sz w:val="32"/>
          <w:szCs w:val="32"/>
          <w:u w:val="single"/>
          <w:lang w:val="en-US" w:eastAsia="zh-CN"/>
        </w:rPr>
        <w:t xml:space="preserve">   </w:t>
      </w:r>
      <w:r>
        <w:rPr>
          <w:rFonts w:hint="eastAsia" w:cs="宋体"/>
          <w:color w:val="000000"/>
          <w:kern w:val="0"/>
          <w:sz w:val="32"/>
          <w:szCs w:val="32"/>
          <w:highlight w:val="none"/>
          <w:u w:val="single"/>
          <w:lang w:val="en-US" w:eastAsia="zh-CN" w:bidi="ar-SA"/>
        </w:rPr>
        <w:t>505.36</w:t>
      </w:r>
      <w:r>
        <w:rPr>
          <w:rFonts w:hint="eastAsia" w:ascii="Times New Roman" w:hAnsi="Times New Roman" w:cs="Times New Roman"/>
          <w:sz w:val="32"/>
          <w:szCs w:val="32"/>
          <w:u w:val="single"/>
          <w:lang w:val="en-US" w:eastAsia="zh-CN"/>
        </w:rPr>
        <w:t xml:space="preserve"> </w:t>
      </w:r>
      <w:r>
        <w:rPr>
          <w:rFonts w:hint="eastAsia" w:ascii="Times New Roman" w:hAnsi="Times New Roman" w:cs="Times New Roman"/>
          <w:sz w:val="32"/>
          <w:szCs w:val="32"/>
          <w:lang w:val="en-US" w:eastAsia="zh-CN"/>
        </w:rPr>
        <w:t>万元、专项经费</w:t>
      </w:r>
      <w:r>
        <w:rPr>
          <w:rFonts w:hint="eastAsia" w:ascii="Times New Roman" w:hAnsi="Times New Roman" w:cs="Times New Roman"/>
          <w:sz w:val="32"/>
          <w:szCs w:val="32"/>
          <w:u w:val="single"/>
          <w:lang w:val="en-US" w:eastAsia="zh-CN"/>
        </w:rPr>
        <w:t xml:space="preserve"> 0 </w:t>
      </w:r>
      <w:r>
        <w:rPr>
          <w:rFonts w:hint="eastAsia" w:ascii="Times New Roman" w:hAnsi="Times New Roman" w:cs="Times New Roman"/>
          <w:sz w:val="32"/>
          <w:szCs w:val="32"/>
          <w:lang w:val="en-US" w:eastAsia="zh-CN"/>
        </w:rPr>
        <w:t>万元、政府专项经费</w:t>
      </w:r>
      <w:r>
        <w:rPr>
          <w:rFonts w:hint="eastAsia" w:ascii="Times New Roman" w:hAnsi="Times New Roman" w:cs="Times New Roman"/>
          <w:sz w:val="32"/>
          <w:szCs w:val="32"/>
          <w:u w:val="single"/>
          <w:lang w:val="en-US" w:eastAsia="zh-CN"/>
        </w:rPr>
        <w:t xml:space="preserve"> 0 </w:t>
      </w:r>
      <w:r>
        <w:rPr>
          <w:rFonts w:hint="eastAsia" w:ascii="Times New Roman" w:hAnsi="Times New Roman" w:cs="Times New Roman"/>
          <w:sz w:val="32"/>
          <w:szCs w:val="32"/>
          <w:lang w:val="en-US" w:eastAsia="zh-CN"/>
        </w:rPr>
        <w:t>万元），涵盖项目</w:t>
      </w:r>
      <w:r>
        <w:rPr>
          <w:rFonts w:hint="eastAsia" w:ascii="Times New Roman" w:hAnsi="Times New Roman" w:cs="Times New Roman"/>
          <w:sz w:val="32"/>
          <w:szCs w:val="32"/>
          <w:u w:val="single"/>
          <w:lang w:val="en-US" w:eastAsia="zh-CN"/>
        </w:rPr>
        <w:t xml:space="preserve"> 6 </w:t>
      </w:r>
      <w:r>
        <w:rPr>
          <w:rFonts w:hint="eastAsia" w:ascii="Times New Roman" w:hAnsi="Times New Roman" w:cs="Times New Roman"/>
          <w:sz w:val="32"/>
          <w:szCs w:val="32"/>
          <w:u w:val="none"/>
          <w:lang w:val="en-US" w:eastAsia="zh-CN"/>
        </w:rPr>
        <w:t>个</w:t>
      </w:r>
      <w:r>
        <w:rPr>
          <w:rFonts w:hint="eastAsia" w:ascii="Times New Roman" w:hAnsi="Times New Roman" w:eastAsia="仿宋_GB2312" w:cs="Times New Roman"/>
          <w:sz w:val="32"/>
          <w:szCs w:val="32"/>
          <w:lang w:eastAsia="zh-CN"/>
        </w:rPr>
        <w:t>。</w:t>
      </w:r>
      <w:r>
        <w:rPr>
          <w:rFonts w:hint="eastAsia" w:ascii="Times New Roman" w:hAnsi="Times New Roman" w:cs="Times New Roman"/>
          <w:sz w:val="32"/>
          <w:szCs w:val="32"/>
          <w:lang w:val="en-US" w:eastAsia="zh-CN"/>
        </w:rPr>
        <w:t>具体情况如下：</w:t>
      </w:r>
    </w:p>
    <w:p>
      <w:pPr>
        <w:spacing w:line="660" w:lineRule="exact"/>
        <w:ind w:firstLine="480" w:firstLineChars="200"/>
        <w:jc w:val="right"/>
        <w:rPr>
          <w:rFonts w:hint="eastAsia" w:ascii="Times New Roman" w:hAnsi="Times New Roman" w:cs="Times New Roman"/>
          <w:sz w:val="32"/>
          <w:szCs w:val="32"/>
          <w:lang w:val="en-US" w:eastAsia="zh-CN"/>
        </w:rPr>
      </w:pPr>
      <w:r>
        <w:rPr>
          <w:rFonts w:hint="eastAsia" w:ascii="Times New Roman" w:hAnsi="Times New Roman" w:cs="Times New Roman"/>
          <w:sz w:val="24"/>
          <w:szCs w:val="24"/>
          <w:lang w:val="en-US" w:eastAsia="zh-CN"/>
        </w:rPr>
        <w:t>金额单位：万元</w:t>
      </w:r>
    </w:p>
    <w:tbl>
      <w:tblPr>
        <w:tblStyle w:val="9"/>
        <w:tblW w:w="9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1064"/>
        <w:gridCol w:w="3623"/>
        <w:gridCol w:w="945"/>
        <w:gridCol w:w="1005"/>
        <w:gridCol w:w="840"/>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144" w:type="dxa"/>
            <w:vMerge w:val="restart"/>
            <w:noWrap w:val="0"/>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项目</w:t>
            </w:r>
            <w:r>
              <w:rPr>
                <w:rFonts w:hint="eastAsia" w:cs="Times New Roman"/>
                <w:sz w:val="21"/>
                <w:szCs w:val="21"/>
                <w:vertAlign w:val="baseline"/>
                <w:lang w:val="en-US" w:eastAsia="zh-CN"/>
              </w:rPr>
              <w:t>名称</w:t>
            </w:r>
          </w:p>
        </w:tc>
        <w:tc>
          <w:tcPr>
            <w:tcW w:w="1064" w:type="dxa"/>
            <w:vMerge w:val="restart"/>
            <w:noWrap w:val="0"/>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项目类型</w:t>
            </w:r>
          </w:p>
        </w:tc>
        <w:tc>
          <w:tcPr>
            <w:tcW w:w="3623" w:type="dxa"/>
            <w:vMerge w:val="restart"/>
            <w:noWrap w:val="0"/>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资金用途、使用方向</w:t>
            </w:r>
          </w:p>
        </w:tc>
        <w:tc>
          <w:tcPr>
            <w:tcW w:w="1950" w:type="dxa"/>
            <w:gridSpan w:val="2"/>
            <w:noWrap w:val="0"/>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预算金额</w:t>
            </w:r>
          </w:p>
        </w:tc>
        <w:tc>
          <w:tcPr>
            <w:tcW w:w="1796" w:type="dxa"/>
            <w:gridSpan w:val="2"/>
            <w:noWrap w:val="0"/>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支出金额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144" w:type="dxa"/>
            <w:vMerge w:val="continue"/>
            <w:noWrap w:val="0"/>
            <w:vAlign w:val="center"/>
          </w:tcPr>
          <w:p>
            <w:pPr>
              <w:spacing w:line="240" w:lineRule="auto"/>
              <w:jc w:val="center"/>
              <w:rPr>
                <w:rFonts w:hint="eastAsia" w:ascii="Times New Roman" w:hAnsi="Times New Roman" w:cs="Times New Roman"/>
                <w:sz w:val="21"/>
                <w:szCs w:val="21"/>
                <w:vertAlign w:val="baseline"/>
                <w:lang w:val="en-US" w:eastAsia="zh-CN"/>
              </w:rPr>
            </w:pPr>
          </w:p>
        </w:tc>
        <w:tc>
          <w:tcPr>
            <w:tcW w:w="1064" w:type="dxa"/>
            <w:vMerge w:val="continue"/>
            <w:noWrap w:val="0"/>
            <w:vAlign w:val="center"/>
          </w:tcPr>
          <w:p>
            <w:pPr>
              <w:spacing w:line="240" w:lineRule="auto"/>
              <w:jc w:val="center"/>
              <w:rPr>
                <w:rFonts w:hint="eastAsia" w:ascii="Times New Roman" w:hAnsi="Times New Roman" w:cs="Times New Roman"/>
                <w:sz w:val="21"/>
                <w:szCs w:val="21"/>
                <w:vertAlign w:val="baseline"/>
                <w:lang w:val="en-US" w:eastAsia="zh-CN"/>
              </w:rPr>
            </w:pPr>
          </w:p>
        </w:tc>
        <w:tc>
          <w:tcPr>
            <w:tcW w:w="3623" w:type="dxa"/>
            <w:vMerge w:val="continue"/>
            <w:noWrap w:val="0"/>
            <w:vAlign w:val="center"/>
          </w:tcPr>
          <w:p>
            <w:pPr>
              <w:spacing w:line="240" w:lineRule="auto"/>
              <w:jc w:val="center"/>
              <w:rPr>
                <w:rFonts w:hint="eastAsia" w:ascii="Times New Roman" w:hAnsi="Times New Roman" w:cs="Times New Roman"/>
                <w:sz w:val="21"/>
                <w:szCs w:val="21"/>
                <w:vertAlign w:val="baseline"/>
                <w:lang w:val="en-US" w:eastAsia="zh-CN"/>
              </w:rPr>
            </w:pPr>
          </w:p>
        </w:tc>
        <w:tc>
          <w:tcPr>
            <w:tcW w:w="945" w:type="dxa"/>
            <w:noWrap w:val="0"/>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指标</w:t>
            </w:r>
          </w:p>
          <w:p>
            <w:pPr>
              <w:spacing w:line="240" w:lineRule="auto"/>
              <w:jc w:val="center"/>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总额</w:t>
            </w:r>
          </w:p>
        </w:tc>
        <w:tc>
          <w:tcPr>
            <w:tcW w:w="1005" w:type="dxa"/>
            <w:noWrap w:val="0"/>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其中：区级资金</w:t>
            </w:r>
          </w:p>
        </w:tc>
        <w:tc>
          <w:tcPr>
            <w:tcW w:w="840" w:type="dxa"/>
            <w:noWrap w:val="0"/>
            <w:vAlign w:val="center"/>
          </w:tcPr>
          <w:p>
            <w:pPr>
              <w:spacing w:line="240" w:lineRule="auto"/>
              <w:jc w:val="center"/>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支出总额</w:t>
            </w:r>
          </w:p>
        </w:tc>
        <w:tc>
          <w:tcPr>
            <w:tcW w:w="956" w:type="dxa"/>
            <w:noWrap w:val="0"/>
            <w:vAlign w:val="center"/>
          </w:tcPr>
          <w:p>
            <w:pPr>
              <w:spacing w:line="240" w:lineRule="auto"/>
              <w:jc w:val="center"/>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其中：区级资金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144" w:type="dxa"/>
            <w:noWrap w:val="0"/>
            <w:vAlign w:val="center"/>
          </w:tcPr>
          <w:p>
            <w:pPr>
              <w:spacing w:line="240" w:lineRule="auto"/>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项目1</w:t>
            </w:r>
          </w:p>
        </w:tc>
        <w:tc>
          <w:tcPr>
            <w:tcW w:w="1064" w:type="dxa"/>
            <w:noWrap w:val="0"/>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业务工作经费</w:t>
            </w:r>
          </w:p>
        </w:tc>
        <w:tc>
          <w:tcPr>
            <w:tcW w:w="3623" w:type="dxa"/>
            <w:noWrap w:val="0"/>
            <w:vAlign w:val="center"/>
          </w:tcPr>
          <w:p>
            <w:pPr>
              <w:spacing w:line="240" w:lineRule="auto"/>
              <w:jc w:val="left"/>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主要用于审计系统内统一组织的培</w:t>
            </w:r>
          </w:p>
          <w:p>
            <w:pPr>
              <w:spacing w:line="240" w:lineRule="auto"/>
              <w:jc w:val="left"/>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训；金审三期工程建设和财政联网审</w:t>
            </w:r>
          </w:p>
          <w:p>
            <w:pPr>
              <w:spacing w:line="240" w:lineRule="auto"/>
              <w:jc w:val="left"/>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计网络维护；政府投资审计中心专家</w:t>
            </w:r>
          </w:p>
          <w:p>
            <w:pPr>
              <w:spacing w:line="240" w:lineRule="auto"/>
              <w:jc w:val="left"/>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工资及日常运营；经济责任审计、行</w:t>
            </w:r>
          </w:p>
          <w:p>
            <w:pPr>
              <w:spacing w:line="240" w:lineRule="auto"/>
              <w:jc w:val="left"/>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业审计、指导内审项目；审计外勤经</w:t>
            </w:r>
          </w:p>
          <w:p>
            <w:pPr>
              <w:spacing w:line="240" w:lineRule="auto"/>
              <w:jc w:val="left"/>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费；</w:t>
            </w:r>
            <w:r>
              <w:rPr>
                <w:rFonts w:hint="eastAsia" w:cs="Times New Roman"/>
                <w:sz w:val="21"/>
                <w:szCs w:val="21"/>
                <w:vertAlign w:val="baseline"/>
                <w:lang w:val="en-US" w:eastAsia="zh-CN"/>
              </w:rPr>
              <w:t>支付2018-2020年度“非吸”案件</w:t>
            </w:r>
            <w:bookmarkStart w:id="0" w:name="_GoBack"/>
            <w:bookmarkEnd w:id="0"/>
            <w:r>
              <w:rPr>
                <w:rFonts w:hint="eastAsia" w:ascii="Times New Roman" w:hAnsi="Times New Roman" w:cs="Times New Roman"/>
                <w:sz w:val="21"/>
                <w:szCs w:val="21"/>
                <w:vertAlign w:val="baseline"/>
                <w:lang w:val="en-US" w:eastAsia="zh-CN"/>
              </w:rPr>
              <w:t>司法鉴定中介费；开展审计项目时委托中介机构以及购买审计服务弥补审计力量不足等支出</w:t>
            </w:r>
            <w:r>
              <w:rPr>
                <w:rFonts w:hint="eastAsia" w:cs="Times New Roman"/>
                <w:sz w:val="21"/>
                <w:szCs w:val="21"/>
                <w:vertAlign w:val="baseline"/>
                <w:lang w:val="en-US" w:eastAsia="zh-CN"/>
              </w:rPr>
              <w:t>。</w:t>
            </w:r>
          </w:p>
        </w:tc>
        <w:tc>
          <w:tcPr>
            <w:tcW w:w="945" w:type="dxa"/>
            <w:noWrap w:val="0"/>
            <w:vAlign w:val="center"/>
          </w:tcPr>
          <w:p>
            <w:pPr>
              <w:spacing w:line="240" w:lineRule="auto"/>
              <w:jc w:val="left"/>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540.91</w:t>
            </w:r>
          </w:p>
        </w:tc>
        <w:tc>
          <w:tcPr>
            <w:tcW w:w="1005" w:type="dxa"/>
            <w:noWrap w:val="0"/>
            <w:vAlign w:val="center"/>
          </w:tcPr>
          <w:p>
            <w:pPr>
              <w:spacing w:line="240" w:lineRule="auto"/>
              <w:jc w:val="left"/>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540.91</w:t>
            </w:r>
          </w:p>
        </w:tc>
        <w:tc>
          <w:tcPr>
            <w:tcW w:w="840" w:type="dxa"/>
            <w:noWrap w:val="0"/>
            <w:vAlign w:val="center"/>
          </w:tcPr>
          <w:p>
            <w:pPr>
              <w:spacing w:line="240" w:lineRule="auto"/>
              <w:jc w:val="left"/>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505.36</w:t>
            </w:r>
          </w:p>
        </w:tc>
        <w:tc>
          <w:tcPr>
            <w:tcW w:w="956" w:type="dxa"/>
            <w:noWrap w:val="0"/>
            <w:vAlign w:val="center"/>
          </w:tcPr>
          <w:p>
            <w:pPr>
              <w:spacing w:line="240" w:lineRule="auto"/>
              <w:jc w:val="left"/>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505.36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5831" w:type="dxa"/>
            <w:gridSpan w:val="3"/>
            <w:noWrap w:val="0"/>
            <w:vAlign w:val="center"/>
          </w:tcPr>
          <w:p>
            <w:pPr>
              <w:tabs>
                <w:tab w:val="left" w:pos="2243"/>
              </w:tabs>
              <w:spacing w:line="240" w:lineRule="auto"/>
              <w:jc w:val="both"/>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ab/>
            </w:r>
            <w:r>
              <w:rPr>
                <w:rFonts w:hint="eastAsia" w:ascii="Times New Roman" w:hAnsi="Times New Roman" w:cs="Times New Roman"/>
                <w:sz w:val="21"/>
                <w:szCs w:val="21"/>
                <w:vertAlign w:val="baseline"/>
                <w:lang w:val="en-US" w:eastAsia="zh-CN"/>
              </w:rPr>
              <w:t>合计</w:t>
            </w:r>
          </w:p>
        </w:tc>
        <w:tc>
          <w:tcPr>
            <w:tcW w:w="945" w:type="dxa"/>
            <w:noWrap w:val="0"/>
            <w:vAlign w:val="center"/>
          </w:tcPr>
          <w:p>
            <w:pPr>
              <w:spacing w:line="240" w:lineRule="auto"/>
              <w:jc w:val="left"/>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540.91</w:t>
            </w:r>
          </w:p>
        </w:tc>
        <w:tc>
          <w:tcPr>
            <w:tcW w:w="1005" w:type="dxa"/>
            <w:noWrap w:val="0"/>
            <w:vAlign w:val="center"/>
          </w:tcPr>
          <w:p>
            <w:pPr>
              <w:spacing w:line="240" w:lineRule="auto"/>
              <w:jc w:val="left"/>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540.91</w:t>
            </w:r>
          </w:p>
        </w:tc>
        <w:tc>
          <w:tcPr>
            <w:tcW w:w="840" w:type="dxa"/>
            <w:noWrap w:val="0"/>
            <w:vAlign w:val="center"/>
          </w:tcPr>
          <w:p>
            <w:pPr>
              <w:spacing w:line="240" w:lineRule="auto"/>
              <w:jc w:val="left"/>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505.36</w:t>
            </w:r>
          </w:p>
        </w:tc>
        <w:tc>
          <w:tcPr>
            <w:tcW w:w="956" w:type="dxa"/>
            <w:noWrap w:val="0"/>
            <w:vAlign w:val="center"/>
          </w:tcPr>
          <w:p>
            <w:pPr>
              <w:spacing w:line="240" w:lineRule="auto"/>
              <w:jc w:val="left"/>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505.36</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rPr>
          <w:rFonts w:hint="eastAsia" w:ascii="Times New Roman" w:hAnsi="Times New Roman" w:eastAsia="仿宋_GB2312" w:cs="Times New Roman"/>
          <w:sz w:val="32"/>
          <w:szCs w:val="32"/>
          <w:lang w:eastAsia="zh-CN"/>
        </w:rPr>
      </w:pPr>
      <w:r>
        <w:rPr>
          <w:rFonts w:hint="eastAsia" w:ascii="Times New Roman" w:hAnsi="Times New Roman" w:eastAsia="楷体_GB2312" w:cs="Times New Roman"/>
          <w:b w:val="0"/>
          <w:bCs/>
          <w:sz w:val="32"/>
          <w:szCs w:val="32"/>
          <w:lang w:eastAsia="zh-CN"/>
        </w:rPr>
        <w:t>（二）项目绩效</w:t>
      </w:r>
      <w:r>
        <w:rPr>
          <w:rFonts w:ascii="Times New Roman" w:hAnsi="Times New Roman" w:eastAsia="楷体_GB2312" w:cs="Times New Roman"/>
          <w:b w:val="0"/>
          <w:bCs/>
          <w:sz w:val="32"/>
          <w:szCs w:val="32"/>
        </w:rPr>
        <w:t>目标</w:t>
      </w:r>
      <w:r>
        <w:rPr>
          <w:rFonts w:hint="eastAsia" w:ascii="Times New Roman" w:hAnsi="Times New Roman" w:eastAsia="楷体_GB2312" w:cs="Times New Roman"/>
          <w:b w:val="0"/>
          <w:bCs/>
          <w:sz w:val="32"/>
          <w:szCs w:val="32"/>
          <w:lang w:eastAsia="zh-CN"/>
        </w:rPr>
        <w:t>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业务工作经费绩效整体目标：完成202</w:t>
      </w:r>
      <w:r>
        <w:rPr>
          <w:rFonts w:hint="eastAsia" w:cs="Times New Roman"/>
          <w:sz w:val="32"/>
          <w:szCs w:val="32"/>
          <w:lang w:val="en-US" w:eastAsia="zh-CN"/>
        </w:rPr>
        <w:t>2</w:t>
      </w:r>
      <w:r>
        <w:rPr>
          <w:rFonts w:hint="eastAsia" w:ascii="Times New Roman" w:hAnsi="Times New Roman" w:eastAsia="仿宋_GB2312" w:cs="Times New Roman"/>
          <w:sz w:val="32"/>
          <w:szCs w:val="32"/>
          <w:lang w:eastAsia="zh-CN"/>
        </w:rPr>
        <w:t>年审计项目，保证区政府安排的审计项目正常进行，切实发挥审计在服务开福经济高质量发展中的建设性作用。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720" w:leftChars="0" w:hanging="1080" w:firstLineChars="0"/>
        <w:textAlignment w:val="auto"/>
        <w:rPr>
          <w:rFonts w:ascii="Times New Roman" w:hAnsi="Times New Roman" w:eastAsia="楷体_GB2312" w:cs="Times New Roman"/>
          <w:b w:val="0"/>
          <w:bCs/>
          <w:sz w:val="32"/>
          <w:szCs w:val="32"/>
        </w:rPr>
      </w:pPr>
      <w:r>
        <w:rPr>
          <w:rFonts w:ascii="Times New Roman" w:hAnsi="Times New Roman" w:eastAsia="楷体_GB2312" w:cs="Times New Roman"/>
          <w:b w:val="0"/>
          <w:bCs/>
          <w:sz w:val="32"/>
          <w:szCs w:val="32"/>
        </w:rPr>
        <w:t>资金使用管理情况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一是根据年度工作安排和项目组织实施进度，资金分批次拨付到位。</w:t>
      </w:r>
      <w:r>
        <w:rPr>
          <w:rFonts w:hint="eastAsia" w:ascii="Times New Roman" w:hAnsi="Times New Roman" w:eastAsia="仿宋_GB2312" w:cs="宋体"/>
          <w:color w:val="000000"/>
          <w:kern w:val="0"/>
          <w:sz w:val="32"/>
          <w:szCs w:val="32"/>
          <w:highlight w:val="none"/>
          <w:lang w:val="en-US" w:eastAsia="zh-CN" w:bidi="ar-SA"/>
        </w:rPr>
        <w:t>202</w:t>
      </w:r>
      <w:r>
        <w:rPr>
          <w:rFonts w:hint="eastAsia" w:ascii="Times New Roman" w:hAnsi="Times New Roman" w:cs="宋体"/>
          <w:color w:val="000000"/>
          <w:kern w:val="0"/>
          <w:sz w:val="32"/>
          <w:szCs w:val="32"/>
          <w:highlight w:val="none"/>
          <w:lang w:val="en-US" w:eastAsia="zh-CN" w:bidi="ar-SA"/>
        </w:rPr>
        <w:t>2</w:t>
      </w:r>
      <w:r>
        <w:rPr>
          <w:rFonts w:hint="eastAsia" w:ascii="Times New Roman" w:hAnsi="Times New Roman" w:eastAsia="仿宋_GB2312" w:cs="宋体"/>
          <w:color w:val="000000"/>
          <w:kern w:val="0"/>
          <w:sz w:val="32"/>
          <w:szCs w:val="32"/>
          <w:highlight w:val="none"/>
          <w:lang w:val="en-US" w:eastAsia="zh-CN" w:bidi="ar-SA"/>
        </w:rPr>
        <w:t>年我单位项目支出年初预算数为246.58万元，调整预算数为</w:t>
      </w:r>
      <w:r>
        <w:rPr>
          <w:rFonts w:hint="eastAsia" w:cs="宋体"/>
          <w:color w:val="000000"/>
          <w:kern w:val="0"/>
          <w:sz w:val="32"/>
          <w:szCs w:val="32"/>
          <w:highlight w:val="none"/>
          <w:lang w:val="en-US" w:eastAsia="zh-CN" w:bidi="ar-SA"/>
        </w:rPr>
        <w:t>540.91</w:t>
      </w:r>
      <w:r>
        <w:rPr>
          <w:rFonts w:hint="eastAsia" w:ascii="Times New Roman" w:hAnsi="Times New Roman" w:eastAsia="仿宋_GB2312" w:cs="宋体"/>
          <w:color w:val="000000"/>
          <w:kern w:val="0"/>
          <w:sz w:val="32"/>
          <w:szCs w:val="32"/>
          <w:highlight w:val="none"/>
          <w:lang w:val="en-US" w:eastAsia="zh-CN" w:bidi="ar-SA"/>
        </w:rPr>
        <w:t>万元</w:t>
      </w:r>
      <w:r>
        <w:rPr>
          <w:rFonts w:hint="eastAsia" w:ascii="Times New Roman" w:hAnsi="Times New Roman" w:cs="宋体"/>
          <w:color w:val="000000"/>
          <w:kern w:val="0"/>
          <w:sz w:val="32"/>
          <w:szCs w:val="32"/>
          <w:highlight w:val="none"/>
          <w:lang w:val="en-US" w:eastAsia="zh-CN" w:bidi="ar-SA"/>
        </w:rPr>
        <w:t>，</w:t>
      </w:r>
      <w:r>
        <w:rPr>
          <w:rFonts w:hint="eastAsia" w:ascii="Times New Roman" w:hAnsi="Times New Roman" w:eastAsia="仿宋_GB2312" w:cs="宋体"/>
          <w:color w:val="000000"/>
          <w:kern w:val="0"/>
          <w:sz w:val="32"/>
          <w:szCs w:val="32"/>
          <w:highlight w:val="none"/>
          <w:lang w:val="en-US" w:eastAsia="zh-CN" w:bidi="ar-SA"/>
        </w:rPr>
        <w:t>决算数为</w:t>
      </w:r>
      <w:r>
        <w:rPr>
          <w:rFonts w:hint="eastAsia" w:cs="宋体"/>
          <w:color w:val="000000"/>
          <w:kern w:val="0"/>
          <w:sz w:val="32"/>
          <w:szCs w:val="32"/>
          <w:highlight w:val="none"/>
          <w:lang w:val="en-US" w:eastAsia="zh-CN" w:bidi="ar-SA"/>
        </w:rPr>
        <w:t>505.36</w:t>
      </w:r>
      <w:r>
        <w:rPr>
          <w:rFonts w:hint="eastAsia" w:ascii="Times New Roman" w:hAnsi="Times New Roman" w:eastAsia="仿宋_GB2312" w:cs="宋体"/>
          <w:color w:val="000000"/>
          <w:kern w:val="0"/>
          <w:sz w:val="32"/>
          <w:szCs w:val="32"/>
          <w:highlight w:val="none"/>
          <w:lang w:val="en-US" w:eastAsia="zh-CN" w:bidi="ar-SA"/>
        </w:rPr>
        <w:t>万元</w:t>
      </w:r>
      <w:r>
        <w:rPr>
          <w:rFonts w:hint="eastAsia" w:ascii="Times New Roman" w:hAnsi="Times New Roman" w:eastAsia="仿宋_GB2312" w:cs="Times New Roman"/>
          <w:sz w:val="32"/>
          <w:szCs w:val="32"/>
          <w:lang w:eastAsia="zh-CN"/>
        </w:rPr>
        <w:t>；二是为加强专项经费管理，规范专项资金使用使用，提高资金使用效率，我局进一步建立健全财务管理制度，</w:t>
      </w:r>
      <w:r>
        <w:rPr>
          <w:rFonts w:hint="eastAsia" w:cs="Times New Roman"/>
          <w:sz w:val="32"/>
          <w:szCs w:val="32"/>
          <w:lang w:eastAsia="zh-CN"/>
        </w:rPr>
        <w:t>坚持执行</w:t>
      </w:r>
      <w:r>
        <w:rPr>
          <w:rFonts w:hint="eastAsia" w:ascii="Times New Roman" w:hAnsi="Times New Roman" w:eastAsia="仿宋_GB2312" w:cs="Times New Roman"/>
          <w:sz w:val="32"/>
          <w:szCs w:val="32"/>
          <w:lang w:eastAsia="zh-CN"/>
        </w:rPr>
        <w:t>《开福区审计局专项经费使用管理办法》，要求专项资金严格按照项目内容使用，使用专项资金时全部通过国库集中支付，确保专款专用，支出合理合规。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Times New Roman"/>
          <w:sz w:val="32"/>
          <w:szCs w:val="32"/>
        </w:rPr>
      </w:pPr>
      <w:r>
        <w:rPr>
          <w:rFonts w:hint="eastAsia" w:ascii="Times New Roman" w:hAnsi="Times New Roman" w:eastAsia="黑体" w:cs="Times New Roman"/>
          <w:sz w:val="32"/>
          <w:szCs w:val="32"/>
          <w:lang w:eastAsia="zh-CN"/>
        </w:rPr>
        <w:t>二、</w:t>
      </w:r>
      <w:r>
        <w:rPr>
          <w:rFonts w:ascii="Times New Roman" w:hAnsi="Times New Roman" w:eastAsia="黑体" w:cs="Times New Roman"/>
          <w:sz w:val="32"/>
          <w:szCs w:val="32"/>
        </w:rPr>
        <w:t>绩效评价工作情况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一是根据绩效评价工作有关要求，我局绩效评价工作由办公室牵头，各业务科室参与，组织业务部门制定了详细工作方案，明确各科室职责，确定绩效目标。二是根据区财政局部署，结合全局业务工作开展情况进行绩效自评，形成绩效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rPr>
          <w:rFonts w:ascii="Times New Roman" w:hAnsi="Times New Roman" w:eastAsia="黑体" w:cs="Times New Roman"/>
          <w:sz w:val="32"/>
          <w:szCs w:val="32"/>
        </w:rPr>
      </w:pPr>
      <w:r>
        <w:rPr>
          <w:rFonts w:hint="eastAsia" w:eastAsia="黑体" w:cs="Times New Roman"/>
          <w:sz w:val="32"/>
          <w:szCs w:val="32"/>
          <w:lang w:eastAsia="zh-CN"/>
        </w:rPr>
        <w:t>三、</w:t>
      </w:r>
      <w:r>
        <w:rPr>
          <w:rFonts w:hint="eastAsia" w:ascii="Times New Roman" w:hAnsi="Times New Roman" w:eastAsia="黑体" w:cs="Times New Roman"/>
          <w:sz w:val="32"/>
          <w:szCs w:val="32"/>
          <w:lang w:eastAsia="zh-CN"/>
        </w:rPr>
        <w:t>项目支出</w:t>
      </w:r>
      <w:r>
        <w:rPr>
          <w:rFonts w:ascii="Times New Roman" w:hAnsi="Times New Roman" w:eastAsia="黑体" w:cs="Times New Roman"/>
          <w:sz w:val="32"/>
          <w:szCs w:val="32"/>
        </w:rPr>
        <w:t>主要绩效</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Times New Roman" w:hAnsi="Times New Roman" w:eastAsia="仿宋" w:cs="仿宋"/>
          <w:kern w:val="2"/>
          <w:sz w:val="32"/>
          <w:szCs w:val="32"/>
          <w:lang w:val="en-US" w:eastAsia="zh-CN" w:bidi="ar-SA"/>
        </w:rPr>
      </w:pPr>
      <w:r>
        <w:rPr>
          <w:rFonts w:hint="eastAsia" w:ascii="Times New Roman" w:hAnsi="Times New Roman" w:eastAsia="仿宋" w:cs="仿宋"/>
          <w:sz w:val="32"/>
          <w:szCs w:val="32"/>
        </w:rPr>
        <w:t>202</w:t>
      </w:r>
      <w:r>
        <w:rPr>
          <w:rFonts w:hint="eastAsia" w:ascii="Times New Roman" w:hAnsi="Times New Roman" w:eastAsia="仿宋" w:cs="仿宋"/>
          <w:sz w:val="32"/>
          <w:szCs w:val="32"/>
          <w:lang w:val="en-US" w:eastAsia="zh-CN"/>
        </w:rPr>
        <w:t>2</w:t>
      </w:r>
      <w:r>
        <w:rPr>
          <w:rFonts w:hint="eastAsia" w:ascii="Times New Roman" w:hAnsi="Times New Roman" w:eastAsia="仿宋" w:cs="仿宋"/>
          <w:sz w:val="32"/>
          <w:szCs w:val="32"/>
        </w:rPr>
        <w:t>年，在</w:t>
      </w:r>
      <w:r>
        <w:rPr>
          <w:rFonts w:hint="eastAsia" w:ascii="Times New Roman" w:hAnsi="Times New Roman" w:eastAsia="仿宋" w:cs="仿宋"/>
          <w:sz w:val="32"/>
          <w:szCs w:val="32"/>
          <w:lang w:val="en-US" w:eastAsia="zh-CN"/>
        </w:rPr>
        <w:t>上级审计机关和区</w:t>
      </w:r>
      <w:r>
        <w:rPr>
          <w:rFonts w:hint="eastAsia" w:ascii="Times New Roman" w:hAnsi="Times New Roman" w:eastAsia="仿宋" w:cs="仿宋"/>
          <w:sz w:val="32"/>
          <w:szCs w:val="32"/>
        </w:rPr>
        <w:t>委、</w:t>
      </w:r>
      <w:r>
        <w:rPr>
          <w:rFonts w:hint="eastAsia" w:ascii="Times New Roman" w:hAnsi="Times New Roman" w:eastAsia="仿宋" w:cs="仿宋"/>
          <w:sz w:val="32"/>
          <w:szCs w:val="32"/>
          <w:lang w:val="en-US" w:eastAsia="zh-CN"/>
        </w:rPr>
        <w:t>区</w:t>
      </w:r>
      <w:r>
        <w:rPr>
          <w:rFonts w:hint="eastAsia" w:ascii="Times New Roman" w:hAnsi="Times New Roman" w:eastAsia="仿宋" w:cs="仿宋"/>
          <w:sz w:val="32"/>
          <w:szCs w:val="32"/>
        </w:rPr>
        <w:t>政府的坚强领导下，</w:t>
      </w:r>
      <w:r>
        <w:rPr>
          <w:rFonts w:hint="eastAsia" w:ascii="Times New Roman" w:hAnsi="Times New Roman" w:eastAsia="仿宋" w:cs="仿宋"/>
          <w:sz w:val="32"/>
          <w:szCs w:val="32"/>
          <w:lang w:val="en-US" w:eastAsia="zh-CN"/>
        </w:rPr>
        <w:t>我局</w:t>
      </w:r>
      <w:r>
        <w:rPr>
          <w:rFonts w:hint="eastAsia" w:ascii="Times New Roman" w:hAnsi="Times New Roman" w:eastAsia="仿宋" w:cs="仿宋"/>
          <w:sz w:val="32"/>
          <w:szCs w:val="32"/>
        </w:rPr>
        <w:t>主动担当作为、依法全面履职，各项工作取得明显成</w:t>
      </w:r>
      <w:r>
        <w:rPr>
          <w:rFonts w:hint="eastAsia" w:ascii="Times New Roman" w:hAnsi="Times New Roman" w:eastAsia="仿宋" w:cs="仿宋"/>
          <w:sz w:val="32"/>
          <w:szCs w:val="32"/>
          <w:highlight w:val="none"/>
          <w:lang w:val="en-US" w:eastAsia="zh-CN"/>
        </w:rPr>
        <w:t>效，</w:t>
      </w:r>
      <w:r>
        <w:rPr>
          <w:rFonts w:hint="eastAsia" w:ascii="Times New Roman" w:hAnsi="Times New Roman" w:eastAsia="仿宋" w:cs="仿宋"/>
          <w:sz w:val="32"/>
          <w:szCs w:val="32"/>
          <w:highlight w:val="none"/>
        </w:rPr>
        <w:t>完成审计项目</w:t>
      </w:r>
      <w:r>
        <w:rPr>
          <w:rFonts w:hint="eastAsia" w:ascii="Times New Roman" w:hAnsi="Times New Roman" w:eastAsia="仿宋" w:cs="仿宋"/>
          <w:sz w:val="32"/>
          <w:szCs w:val="32"/>
          <w:highlight w:val="none"/>
          <w:lang w:val="en-US" w:eastAsia="zh-CN"/>
        </w:rPr>
        <w:t>3</w:t>
      </w:r>
      <w:r>
        <w:rPr>
          <w:rFonts w:hint="eastAsia" w:eastAsia="仿宋" w:cs="仿宋"/>
          <w:sz w:val="32"/>
          <w:szCs w:val="32"/>
          <w:highlight w:val="none"/>
          <w:lang w:val="en-US" w:eastAsia="zh-CN"/>
        </w:rPr>
        <w:t>0</w:t>
      </w:r>
      <w:r>
        <w:rPr>
          <w:rFonts w:hint="eastAsia" w:ascii="Times New Roman" w:hAnsi="Times New Roman" w:eastAsia="仿宋" w:cs="仿宋"/>
          <w:sz w:val="32"/>
          <w:szCs w:val="32"/>
          <w:highlight w:val="none"/>
        </w:rPr>
        <w:t>个</w:t>
      </w:r>
      <w:r>
        <w:rPr>
          <w:rFonts w:hint="eastAsia" w:ascii="Times New Roman" w:hAnsi="Times New Roman" w:eastAsia="仿宋" w:cs="仿宋"/>
          <w:sz w:val="32"/>
          <w:szCs w:val="32"/>
        </w:rPr>
        <w:t>，</w:t>
      </w:r>
      <w:r>
        <w:rPr>
          <w:rFonts w:hint="eastAsia" w:ascii="Times New Roman" w:hAnsi="Times New Roman" w:eastAsia="仿宋" w:cs="仿宋"/>
          <w:sz w:val="32"/>
          <w:szCs w:val="32"/>
          <w:highlight w:val="none"/>
          <w:lang w:val="en-US" w:eastAsia="zh-CN"/>
        </w:rPr>
        <w:t>查出违规金额1143万元，管理不规范资金11.36亿元，督促调减</w:t>
      </w:r>
      <w:r>
        <w:rPr>
          <w:rFonts w:hint="eastAsia" w:ascii="Times New Roman" w:hAnsi="Times New Roman" w:eastAsia="仿宋" w:cs="仿宋"/>
          <w:sz w:val="32"/>
          <w:szCs w:val="32"/>
          <w:lang w:val="en-US" w:eastAsia="zh-CN"/>
        </w:rPr>
        <w:t>投资额813万元，上缴财政金额759.9万元，移送问题线索12条</w:t>
      </w:r>
      <w:r>
        <w:rPr>
          <w:rFonts w:hint="eastAsia" w:ascii="Times New Roman" w:hAnsi="Times New Roman" w:eastAsia="仿宋" w:cs="仿宋"/>
          <w:sz w:val="32"/>
          <w:szCs w:val="32"/>
          <w:highlight w:val="none"/>
          <w:lang w:val="en-US" w:eastAsia="zh-CN"/>
        </w:rPr>
        <w:t>。我局继续保持“市文明标兵单位”荣誉，</w:t>
      </w:r>
      <w:r>
        <w:rPr>
          <w:rFonts w:hint="eastAsia" w:ascii="Times New Roman" w:hAnsi="Times New Roman" w:eastAsia="仿宋" w:cs="仿宋"/>
          <w:sz w:val="32"/>
          <w:szCs w:val="32"/>
          <w:highlight w:val="none"/>
          <w:lang w:eastAsia="zh-CN"/>
        </w:rPr>
        <w:t>荣获“</w:t>
      </w:r>
      <w:r>
        <w:rPr>
          <w:rFonts w:hint="eastAsia" w:ascii="Times New Roman" w:hAnsi="Times New Roman" w:eastAsia="仿宋" w:cs="仿宋"/>
          <w:sz w:val="32"/>
          <w:szCs w:val="32"/>
          <w:highlight w:val="none"/>
          <w:lang w:val="en-US" w:eastAsia="zh-CN"/>
        </w:rPr>
        <w:t>市级优秀审计项目一等奖</w:t>
      </w:r>
      <w:r>
        <w:rPr>
          <w:rFonts w:hint="eastAsia" w:ascii="Times New Roman" w:hAnsi="Times New Roman" w:eastAsia="仿宋" w:cs="仿宋"/>
          <w:sz w:val="32"/>
          <w:szCs w:val="32"/>
          <w:highlight w:val="none"/>
          <w:lang w:eastAsia="zh-CN"/>
        </w:rPr>
        <w:t>”</w:t>
      </w:r>
      <w:r>
        <w:rPr>
          <w:rFonts w:hint="eastAsia" w:ascii="Times New Roman" w:hAnsi="Times New Roman" w:eastAsia="仿宋" w:cs="仿宋"/>
          <w:sz w:val="32"/>
          <w:szCs w:val="32"/>
          <w:highlight w:val="none"/>
          <w:lang w:val="en-US" w:eastAsia="zh-CN"/>
        </w:rPr>
        <w:t>1个、</w:t>
      </w:r>
      <w:r>
        <w:rPr>
          <w:rFonts w:hint="eastAsia" w:ascii="Times New Roman" w:hAnsi="Times New Roman" w:eastAsia="仿宋" w:cs="仿宋"/>
          <w:sz w:val="32"/>
          <w:szCs w:val="32"/>
          <w:highlight w:val="none"/>
          <w:lang w:eastAsia="zh-CN"/>
        </w:rPr>
        <w:t>“省级优秀审计项目</w:t>
      </w:r>
      <w:r>
        <w:rPr>
          <w:rFonts w:hint="eastAsia" w:ascii="Times New Roman" w:hAnsi="Times New Roman" w:eastAsia="仿宋" w:cs="仿宋"/>
          <w:sz w:val="32"/>
          <w:szCs w:val="32"/>
          <w:highlight w:val="none"/>
          <w:lang w:val="en-US" w:eastAsia="zh-CN"/>
        </w:rPr>
        <w:t>一等奖</w:t>
      </w:r>
      <w:r>
        <w:rPr>
          <w:rFonts w:hint="eastAsia" w:ascii="Times New Roman" w:hAnsi="Times New Roman" w:eastAsia="仿宋" w:cs="仿宋"/>
          <w:sz w:val="32"/>
          <w:szCs w:val="32"/>
          <w:highlight w:val="none"/>
          <w:lang w:eastAsia="zh-CN"/>
        </w:rPr>
        <w:t>”1个</w:t>
      </w:r>
      <w:r>
        <w:rPr>
          <w:rFonts w:hint="eastAsia" w:ascii="Times New Roman" w:hAnsi="Times New Roman" w:eastAsia="仿宋" w:cs="仿宋"/>
          <w:sz w:val="32"/>
          <w:szCs w:val="32"/>
          <w:lang w:val="en-US" w:eastAsia="zh-CN"/>
        </w:rPr>
        <w:t>。</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eastAsia" w:ascii="Times New Roman" w:hAnsi="Times New Roman" w:eastAsia="仿宋" w:cs="仿宋"/>
          <w:sz w:val="32"/>
          <w:szCs w:val="32"/>
          <w:highlight w:val="none"/>
          <w:lang w:val="en-US" w:eastAsia="zh-CN"/>
        </w:rPr>
      </w:pPr>
      <w:r>
        <w:rPr>
          <w:rFonts w:hint="eastAsia" w:ascii="Times New Roman" w:hAnsi="Times New Roman" w:eastAsia="仿宋_GB2312" w:cs="楷体"/>
          <w:b/>
          <w:kern w:val="2"/>
          <w:sz w:val="32"/>
          <w:szCs w:val="32"/>
          <w:lang w:val="en-US" w:eastAsia="zh-CN" w:bidi="ar-SA"/>
        </w:rPr>
        <w:t>坚持党对审计工作的集中统一领导。</w:t>
      </w:r>
      <w:r>
        <w:rPr>
          <w:rFonts w:hint="eastAsia" w:ascii="Times New Roman" w:hAnsi="Times New Roman" w:eastAsia="仿宋" w:cs="仿宋"/>
          <w:sz w:val="32"/>
          <w:szCs w:val="32"/>
          <w:highlight w:val="none"/>
          <w:lang w:val="en-US" w:eastAsia="zh-CN"/>
        </w:rPr>
        <w:t>召</w:t>
      </w:r>
      <w:r>
        <w:rPr>
          <w:rFonts w:hint="eastAsia" w:ascii="Times New Roman" w:hAnsi="Times New Roman" w:eastAsia="仿宋" w:cs="仿宋"/>
          <w:sz w:val="32"/>
          <w:szCs w:val="32"/>
          <w:lang w:val="en-US" w:eastAsia="zh-CN"/>
        </w:rPr>
        <w:t>开区委审计委员会第六次全体会议，</w:t>
      </w:r>
      <w:r>
        <w:rPr>
          <w:rFonts w:hint="eastAsia" w:ascii="Times New Roman" w:hAnsi="Times New Roman" w:eastAsia="仿宋" w:cs="仿宋"/>
          <w:sz w:val="32"/>
          <w:szCs w:val="32"/>
          <w:highlight w:val="none"/>
          <w:lang w:val="en-US" w:eastAsia="zh-CN"/>
        </w:rPr>
        <w:t>落实落细党对审计工作领导的各项要求，确保党的工作重点抓什么，审计工作就跟着走，审计工作报告就重点反映什么</w:t>
      </w:r>
      <w:r>
        <w:rPr>
          <w:rFonts w:hint="eastAsia" w:ascii="Times New Roman" w:hAnsi="Times New Roman" w:eastAsia="仿宋" w:cs="仿宋"/>
          <w:sz w:val="32"/>
          <w:szCs w:val="32"/>
          <w:highlight w:val="none"/>
          <w:lang w:eastAsia="zh-CN"/>
        </w:rPr>
        <w:t>；</w:t>
      </w:r>
      <w:r>
        <w:rPr>
          <w:rFonts w:hint="eastAsia" w:ascii="Times New Roman" w:hAnsi="Times New Roman" w:eastAsia="仿宋" w:cs="仿宋"/>
          <w:i w:val="0"/>
          <w:caps w:val="0"/>
          <w:color w:val="000000"/>
          <w:spacing w:val="0"/>
          <w:sz w:val="32"/>
          <w:szCs w:val="32"/>
          <w:shd w:val="clear" w:fill="FFFFFF"/>
        </w:rPr>
        <w:t>树牢审计机关首先是政治机关意识</w:t>
      </w:r>
      <w:r>
        <w:rPr>
          <w:rFonts w:hint="eastAsia" w:ascii="Times New Roman" w:hAnsi="Times New Roman" w:eastAsia="仿宋" w:cs="仿宋"/>
          <w:i w:val="0"/>
          <w:caps w:val="0"/>
          <w:color w:val="000000"/>
          <w:spacing w:val="0"/>
          <w:sz w:val="32"/>
          <w:szCs w:val="32"/>
          <w:highlight w:val="none"/>
          <w:shd w:val="clear" w:fill="FFFFFF"/>
        </w:rPr>
        <w:t>，</w:t>
      </w:r>
      <w:r>
        <w:rPr>
          <w:rFonts w:hint="eastAsia" w:ascii="Times New Roman" w:hAnsi="Times New Roman" w:eastAsia="仿宋" w:cs="仿宋"/>
          <w:sz w:val="32"/>
          <w:szCs w:val="32"/>
          <w:highlight w:val="none"/>
        </w:rPr>
        <w:t>严格执行重大审计事项请示报告和跟踪督办制度</w:t>
      </w:r>
      <w:r>
        <w:rPr>
          <w:rFonts w:hint="eastAsia" w:ascii="Times New Roman" w:hAnsi="Times New Roman" w:eastAsia="仿宋" w:cs="仿宋"/>
          <w:sz w:val="32"/>
          <w:szCs w:val="32"/>
          <w:highlight w:val="none"/>
          <w:lang w:val="en-US" w:eastAsia="zh-CN"/>
        </w:rPr>
        <w:t>，报送审计报告23篇、审计专报2篇、综合报告9篇。</w:t>
      </w:r>
    </w:p>
    <w:p>
      <w:pPr>
        <w:pStyle w:val="5"/>
        <w:keepNext w:val="0"/>
        <w:keepLines w:val="0"/>
        <w:pageBreakBefore w:val="0"/>
        <w:widowControl w:val="0"/>
        <w:numPr>
          <w:ilvl w:val="0"/>
          <w:numId w:val="0"/>
        </w:numPr>
        <w:kinsoku/>
        <w:wordWrap/>
        <w:overflowPunct/>
        <w:topLinePunct w:val="0"/>
        <w:autoSpaceDE/>
        <w:autoSpaceDN/>
        <w:bidi w:val="0"/>
        <w:adjustRightInd/>
        <w:spacing w:line="560" w:lineRule="exact"/>
        <w:ind w:firstLine="643" w:firstLineChars="200"/>
        <w:jc w:val="both"/>
        <w:textAlignment w:val="auto"/>
        <w:rPr>
          <w:rFonts w:hint="eastAsia" w:ascii="Times New Roman" w:hAnsi="Times New Roman" w:eastAsia="仿宋" w:cs="仿宋"/>
          <w:kern w:val="2"/>
          <w:sz w:val="32"/>
          <w:szCs w:val="32"/>
          <w:highlight w:val="none"/>
          <w:lang w:val="en-US" w:eastAsia="zh-CN" w:bidi="ar-SA"/>
        </w:rPr>
      </w:pPr>
      <w:r>
        <w:rPr>
          <w:rFonts w:hint="eastAsia" w:ascii="Times New Roman" w:hAnsi="Times New Roman" w:eastAsia="仿宋_GB2312" w:cs="楷体"/>
          <w:b/>
          <w:kern w:val="2"/>
          <w:sz w:val="32"/>
          <w:szCs w:val="32"/>
          <w:lang w:val="en-US" w:eastAsia="zh-CN" w:bidi="ar-SA"/>
        </w:rPr>
        <w:t>持续深化预算执行审计。</w:t>
      </w:r>
      <w:r>
        <w:rPr>
          <w:rFonts w:hint="eastAsia" w:ascii="Times New Roman" w:hAnsi="Times New Roman" w:eastAsia="仿宋" w:cs="仿宋"/>
          <w:kern w:val="2"/>
          <w:sz w:val="32"/>
          <w:szCs w:val="32"/>
          <w:highlight w:val="none"/>
          <w:lang w:val="en-US" w:eastAsia="zh-CN" w:bidi="ar-SA"/>
        </w:rPr>
        <w:t>对2021年度区本级和区医保局、区发改局、区市监局3个部门的预算执行情况和其他财政收支情况开展审计，连续三年利用大数据并结合现场审计对区本级72个一级预算单位和16个街道实行审计全覆盖，强化对预算执行、预算公开、财政支出标准体系建设、资金使用绩效等的审计监督，助推财政资源统筹和深化财政管理体制改革。如在2021年度同级审过程中发现</w:t>
      </w:r>
      <w:r>
        <w:rPr>
          <w:rFonts w:hint="eastAsia" w:ascii="Times New Roman" w:hAnsi="Times New Roman" w:eastAsia="仿宋_GB2312" w:cs="仿宋_GB2312"/>
          <w:sz w:val="32"/>
          <w:szCs w:val="32"/>
          <w:lang w:val="en-US" w:eastAsia="zh-CN"/>
        </w:rPr>
        <w:t>存在</w:t>
      </w:r>
      <w:r>
        <w:rPr>
          <w:rFonts w:hint="eastAsia" w:ascii="Times New Roman" w:hAnsi="Times New Roman" w:eastAsia="仿宋" w:cs="仿宋"/>
          <w:kern w:val="2"/>
          <w:sz w:val="32"/>
          <w:szCs w:val="32"/>
          <w:highlight w:val="none"/>
          <w:lang w:val="en-US" w:eastAsia="zh-CN" w:bidi="ar-SA"/>
        </w:rPr>
        <w:t>非税往来存量资金盘活不到位的问题，</w:t>
      </w:r>
      <w:r>
        <w:rPr>
          <w:rFonts w:hint="eastAsia" w:ascii="Times New Roman" w:hAnsi="Times New Roman" w:eastAsia="仿宋_GB2312" w:cs="仿宋_GB2312"/>
          <w:sz w:val="32"/>
          <w:szCs w:val="32"/>
          <w:lang w:val="en-US" w:eastAsia="zh-CN"/>
        </w:rPr>
        <w:t>区财政局</w:t>
      </w:r>
      <w:r>
        <w:rPr>
          <w:rFonts w:hint="eastAsia" w:ascii="Times New Roman" w:hAnsi="Times New Roman" w:eastAsia="仿宋" w:cs="仿宋"/>
          <w:kern w:val="2"/>
          <w:sz w:val="32"/>
          <w:szCs w:val="32"/>
          <w:highlight w:val="none"/>
          <w:lang w:val="en-US" w:eastAsia="zh-CN" w:bidi="ar-SA"/>
        </w:rPr>
        <w:t>应收未收金额741.8万元。区审计局通过下达审计决定书责令相关单位及时足额上缴该笔款项，</w:t>
      </w:r>
      <w:r>
        <w:rPr>
          <w:rFonts w:hint="eastAsia" w:ascii="Times New Roman" w:hAnsi="Times New Roman" w:eastAsia="仿宋_GB2312" w:cs="仿宋_GB2312"/>
          <w:sz w:val="32"/>
          <w:szCs w:val="32"/>
          <w:highlight w:val="none"/>
        </w:rPr>
        <w:t>切实压缩结余结转资金规模</w:t>
      </w:r>
      <w:r>
        <w:rPr>
          <w:rFonts w:hint="eastAsia" w:ascii="Times New Roman" w:hAnsi="Times New Roman" w:eastAsia="仿宋" w:cs="仿宋"/>
          <w:kern w:val="2"/>
          <w:sz w:val="32"/>
          <w:szCs w:val="32"/>
          <w:highlight w:val="none"/>
          <w:lang w:val="en-US" w:eastAsia="zh-CN" w:bidi="ar-SA"/>
        </w:rPr>
        <w:t>。</w:t>
      </w:r>
    </w:p>
    <w:p>
      <w:pPr>
        <w:pStyle w:val="3"/>
        <w:keepNext w:val="0"/>
        <w:keepLines w:val="0"/>
        <w:pageBreakBefore w:val="0"/>
        <w:kinsoku/>
        <w:wordWrap/>
        <w:overflowPunct/>
        <w:topLinePunct w:val="0"/>
        <w:autoSpaceDE/>
        <w:autoSpaceDN/>
        <w:bidi w:val="0"/>
        <w:adjustRightInd/>
        <w:spacing w:line="560" w:lineRule="exact"/>
        <w:ind w:right="0" w:firstLine="643" w:firstLineChars="200"/>
        <w:textAlignment w:val="auto"/>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楷体"/>
          <w:b/>
          <w:kern w:val="2"/>
          <w:sz w:val="32"/>
          <w:szCs w:val="32"/>
          <w:lang w:val="en-US" w:eastAsia="zh-CN" w:bidi="ar-SA"/>
        </w:rPr>
        <w:t>持续深化经济责任审计和自然资源资产审计离任（任中）审计。</w:t>
      </w:r>
      <w:r>
        <w:rPr>
          <w:rFonts w:hint="eastAsia" w:ascii="Times New Roman" w:hAnsi="Times New Roman" w:eastAsia="仿宋" w:cs="仿宋"/>
          <w:kern w:val="2"/>
          <w:sz w:val="32"/>
          <w:szCs w:val="32"/>
          <w:highlight w:val="none"/>
          <w:lang w:val="en-US" w:eastAsia="zh-CN" w:bidi="ar-SA"/>
        </w:rPr>
        <w:t>组织对区医保局、区发改局、区市监局3个部门和月湖、</w:t>
      </w:r>
      <w:r>
        <w:rPr>
          <w:rFonts w:hint="eastAsia" w:ascii="Times New Roman" w:hAnsi="Times New Roman" w:eastAsia="仿宋_GB2312" w:cs="仿宋_GB2312"/>
          <w:color w:val="auto"/>
          <w:sz w:val="32"/>
          <w:szCs w:val="32"/>
          <w:highlight w:val="none"/>
          <w:lang w:val="en-US" w:eastAsia="zh-CN"/>
        </w:rPr>
        <w:t>伍家岭、青竹湖3个街道共计</w:t>
      </w:r>
      <w:r>
        <w:rPr>
          <w:rFonts w:hint="eastAsia" w:ascii="Times New Roman" w:hAnsi="Times New Roman" w:eastAsia="仿宋" w:cs="仿宋"/>
          <w:kern w:val="2"/>
          <w:sz w:val="32"/>
          <w:szCs w:val="32"/>
          <w:highlight w:val="none"/>
          <w:lang w:val="en-US" w:eastAsia="zh-CN" w:bidi="ar-SA"/>
        </w:rPr>
        <w:t>12位领导干部进行经济责任审计，对青竹湖街</w:t>
      </w:r>
      <w:r>
        <w:rPr>
          <w:rFonts w:hint="eastAsia" w:ascii="Times New Roman" w:hAnsi="Times New Roman" w:eastAsia="仿宋_GB2312" w:cs="仿宋_GB2312"/>
          <w:color w:val="auto"/>
          <w:sz w:val="32"/>
          <w:szCs w:val="32"/>
          <w:highlight w:val="none"/>
          <w:lang w:val="en-US" w:eastAsia="zh-CN"/>
        </w:rPr>
        <w:t>道主要负责人开展自然资源资产审计。持续加大对领导干部经济决策权、经济管理权、资金使用权及自然资源资产保护利用等方面的监督力度，以审计监督的实效促进领导干部依法用权、秉公用权、廉洁用权。如在对区市监局两位领导干部进行离任经济责任审计的过程中，发现存在补助资金发放程序不合规的问题，涉及补助资金334.4万元，区审计局责令其切实整改，严格按照相关规定发放奖补资金，进一步规范审核发放流程。</w:t>
      </w:r>
    </w:p>
    <w:p>
      <w:pPr>
        <w:pStyle w:val="5"/>
        <w:keepNext w:val="0"/>
        <w:keepLines w:val="0"/>
        <w:pageBreakBefore w:val="0"/>
        <w:widowControl w:val="0"/>
        <w:numPr>
          <w:ilvl w:val="0"/>
          <w:numId w:val="0"/>
        </w:numPr>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仿宋" w:cs="仿宋"/>
          <w:kern w:val="2"/>
          <w:sz w:val="32"/>
          <w:szCs w:val="32"/>
          <w:highlight w:val="none"/>
          <w:lang w:val="en-US" w:eastAsia="zh-CN" w:bidi="ar-SA"/>
        </w:rPr>
      </w:pPr>
      <w:r>
        <w:rPr>
          <w:rFonts w:hint="eastAsia" w:ascii="Times New Roman" w:hAnsi="Times New Roman" w:eastAsia="仿宋_GB2312" w:cs="楷体"/>
          <w:b/>
          <w:kern w:val="2"/>
          <w:sz w:val="32"/>
          <w:szCs w:val="32"/>
          <w:lang w:val="en-US" w:eastAsia="zh-CN" w:bidi="ar-SA"/>
        </w:rPr>
        <w:t>持续深化重大项目投资审计。</w:t>
      </w:r>
      <w:r>
        <w:rPr>
          <w:rFonts w:hint="eastAsia" w:ascii="Times New Roman" w:hAnsi="Times New Roman" w:eastAsia="仿宋" w:cs="仿宋"/>
          <w:kern w:val="2"/>
          <w:sz w:val="32"/>
          <w:szCs w:val="32"/>
          <w:highlight w:val="none"/>
          <w:lang w:val="en-US" w:eastAsia="zh-CN" w:bidi="ar-SA"/>
        </w:rPr>
        <w:t>组织对区城市人居环境局2020-2021年老旧小区提质改造工程建设情况和史家坡学校、植基中学等6所学校政府重点投资项目进行跟踪审计、对开福区财政评审中心2021年10月至2022年9月结算评审项目质量情况进行专项审查。</w:t>
      </w:r>
      <w:r>
        <w:rPr>
          <w:rFonts w:hint="eastAsia" w:ascii="Times New Roman" w:hAnsi="Times New Roman" w:eastAsia="仿宋" w:cs="仿宋"/>
          <w:kern w:val="2"/>
          <w:sz w:val="32"/>
          <w:szCs w:val="32"/>
          <w:lang w:val="en-US" w:eastAsia="zh-CN" w:bidi="ar-SA"/>
        </w:rPr>
        <w:t>重点关注建设单位项目审批、工程招投标、工程结算等程序的合法合规情况，着力推动政府投资建设项目的规范管理。如在对区人居环境局开展专项审</w:t>
      </w:r>
      <w:r>
        <w:rPr>
          <w:rFonts w:hint="eastAsia" w:ascii="Times New Roman" w:hAnsi="Times New Roman" w:eastAsia="仿宋" w:cs="仿宋"/>
          <w:kern w:val="2"/>
          <w:sz w:val="32"/>
          <w:szCs w:val="32"/>
          <w:highlight w:val="none"/>
          <w:lang w:val="en-US" w:eastAsia="zh-CN" w:bidi="ar-SA"/>
        </w:rPr>
        <w:t>计调查的过程中，发现3个项目存在串标等违规行为，涉及金额高达3697.97万元，现已移交给区纪委调查处理。</w:t>
      </w:r>
    </w:p>
    <w:p>
      <w:pPr>
        <w:pStyle w:val="5"/>
        <w:keepNext w:val="0"/>
        <w:keepLines w:val="0"/>
        <w:pageBreakBefore w:val="0"/>
        <w:widowControl w:val="0"/>
        <w:numPr>
          <w:ilvl w:val="0"/>
          <w:numId w:val="0"/>
        </w:numPr>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楷体"/>
          <w:b/>
          <w:kern w:val="2"/>
          <w:sz w:val="32"/>
          <w:szCs w:val="32"/>
          <w:lang w:val="en-US" w:eastAsia="zh-CN" w:bidi="ar-SA"/>
        </w:rPr>
        <w:t>扎实开展内部审计指导工作。</w:t>
      </w:r>
      <w:r>
        <w:rPr>
          <w:rFonts w:hint="eastAsia" w:ascii="Times New Roman" w:hAnsi="Times New Roman" w:eastAsia="仿宋_GB2312" w:cs="仿宋_GB2312"/>
          <w:color w:val="auto"/>
          <w:sz w:val="32"/>
          <w:szCs w:val="32"/>
          <w:highlight w:val="none"/>
          <w:lang w:val="en-US" w:eastAsia="zh-CN"/>
        </w:rPr>
        <w:t>组织举办全区内部审计工作培训，引导全区内部审计人员严格按照相关要求开展内部审计工作。指导完成青竹湖</w:t>
      </w:r>
      <w:r>
        <w:rPr>
          <w:rFonts w:hint="eastAsia" w:ascii="Times New Roman" w:hAnsi="Times New Roman" w:eastAsia="仿宋_GB2312" w:cs="仿宋_GB2312"/>
          <w:color w:val="auto"/>
          <w:sz w:val="32"/>
          <w:szCs w:val="32"/>
          <w:highlight w:val="none"/>
        </w:rPr>
        <w:t>街道办事处下属</w:t>
      </w:r>
      <w:r>
        <w:rPr>
          <w:rFonts w:hint="eastAsia" w:ascii="Times New Roman" w:hAnsi="Times New Roman" w:eastAsia="仿宋_GB2312" w:cs="仿宋_GB2312"/>
          <w:color w:val="auto"/>
          <w:sz w:val="32"/>
          <w:szCs w:val="32"/>
          <w:highlight w:val="none"/>
          <w:lang w:val="en-US" w:eastAsia="zh-CN"/>
        </w:rPr>
        <w:t>5</w:t>
      </w:r>
      <w:r>
        <w:rPr>
          <w:rFonts w:hint="eastAsia" w:ascii="Times New Roman" w:hAnsi="Times New Roman" w:eastAsia="仿宋_GB2312" w:cs="仿宋_GB2312"/>
          <w:color w:val="auto"/>
          <w:sz w:val="32"/>
          <w:szCs w:val="32"/>
          <w:highlight w:val="none"/>
        </w:rPr>
        <w:t>个社区</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月湖</w:t>
      </w:r>
      <w:r>
        <w:rPr>
          <w:rFonts w:hint="eastAsia" w:ascii="Times New Roman" w:hAnsi="Times New Roman" w:eastAsia="仿宋_GB2312" w:cs="仿宋_GB2312"/>
          <w:color w:val="auto"/>
          <w:sz w:val="32"/>
          <w:szCs w:val="32"/>
          <w:highlight w:val="none"/>
        </w:rPr>
        <w:t>街道办事处下属</w:t>
      </w:r>
      <w:r>
        <w:rPr>
          <w:rFonts w:hint="eastAsia" w:ascii="Times New Roman" w:hAnsi="Times New Roman" w:eastAsia="仿宋_GB2312" w:cs="仿宋_GB2312"/>
          <w:color w:val="auto"/>
          <w:sz w:val="32"/>
          <w:szCs w:val="32"/>
          <w:highlight w:val="none"/>
          <w:lang w:val="en-US" w:eastAsia="zh-CN"/>
        </w:rPr>
        <w:t>3</w:t>
      </w:r>
      <w:r>
        <w:rPr>
          <w:rFonts w:hint="eastAsia" w:ascii="Times New Roman" w:hAnsi="Times New Roman" w:eastAsia="仿宋_GB2312" w:cs="仿宋_GB2312"/>
          <w:color w:val="auto"/>
          <w:sz w:val="32"/>
          <w:szCs w:val="32"/>
          <w:highlight w:val="none"/>
        </w:rPr>
        <w:t>个社区</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伍家岭</w:t>
      </w:r>
      <w:r>
        <w:rPr>
          <w:rFonts w:hint="eastAsia" w:ascii="Times New Roman" w:hAnsi="Times New Roman" w:eastAsia="仿宋_GB2312" w:cs="仿宋_GB2312"/>
          <w:color w:val="auto"/>
          <w:sz w:val="32"/>
          <w:szCs w:val="32"/>
          <w:highlight w:val="none"/>
        </w:rPr>
        <w:t>街道办事处下属</w:t>
      </w:r>
      <w:r>
        <w:rPr>
          <w:rFonts w:hint="eastAsia" w:ascii="Times New Roman" w:hAnsi="Times New Roman" w:eastAsia="仿宋_GB2312" w:cs="仿宋_GB2312"/>
          <w:color w:val="auto"/>
          <w:sz w:val="32"/>
          <w:szCs w:val="32"/>
          <w:highlight w:val="none"/>
          <w:lang w:val="en-US" w:eastAsia="zh-CN"/>
        </w:rPr>
        <w:t>3</w:t>
      </w:r>
      <w:r>
        <w:rPr>
          <w:rFonts w:hint="eastAsia" w:ascii="Times New Roman" w:hAnsi="Times New Roman" w:eastAsia="仿宋_GB2312" w:cs="仿宋_GB2312"/>
          <w:color w:val="auto"/>
          <w:sz w:val="32"/>
          <w:szCs w:val="32"/>
          <w:highlight w:val="none"/>
        </w:rPr>
        <w:t>个社区</w:t>
      </w:r>
      <w:r>
        <w:rPr>
          <w:rFonts w:hint="eastAsia" w:ascii="Times New Roman" w:hAnsi="Times New Roman" w:eastAsia="仿宋_GB2312" w:cs="仿宋_GB2312"/>
          <w:color w:val="auto"/>
          <w:sz w:val="32"/>
          <w:szCs w:val="32"/>
          <w:highlight w:val="none"/>
          <w:lang w:val="en-US" w:eastAsia="zh-CN"/>
        </w:rPr>
        <w:t>开展财务收支审计，使其在</w:t>
      </w:r>
      <w:r>
        <w:rPr>
          <w:rFonts w:hint="default" w:ascii="Times New Roman" w:hAnsi="Times New Roman" w:eastAsia="仿宋_GB2312" w:cs="仿宋_GB2312"/>
          <w:color w:val="auto"/>
          <w:sz w:val="32"/>
          <w:szCs w:val="32"/>
          <w:highlight w:val="none"/>
          <w:lang w:val="en-US" w:eastAsia="zh-CN"/>
        </w:rPr>
        <w:t>规范内部管理、防范风险隐患、加强廉政建设等方面积极发挥作用。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Times New Roman" w:hAnsi="Times New Roman" w:eastAsia="仿宋" w:cs="仿宋"/>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加快研审结合，建设研究型审计机关。</w:t>
      </w:r>
      <w:r>
        <w:rPr>
          <w:rFonts w:hint="eastAsia" w:ascii="Times New Roman" w:hAnsi="Times New Roman" w:eastAsia="仿宋" w:cs="仿宋"/>
          <w:kern w:val="2"/>
          <w:sz w:val="32"/>
          <w:szCs w:val="32"/>
          <w:lang w:val="en-US" w:eastAsia="zh-CN" w:bidi="ar-SA"/>
        </w:rPr>
        <w:t>针对全年审计工作聚焦的重点领域，积极开展研究型审计，持续做好深入调研，充分挖掘共性问题，着力提出具有针对性和可操作性的审计建议，推动补齐工作短板、堵塞制度漏洞。如通过</w:t>
      </w:r>
      <w:r>
        <w:rPr>
          <w:rFonts w:hint="default" w:ascii="Times New Roman" w:hAnsi="Times New Roman" w:eastAsia="仿宋" w:cs="仿宋"/>
          <w:kern w:val="2"/>
          <w:sz w:val="32"/>
          <w:szCs w:val="32"/>
          <w:lang w:val="en-US" w:eastAsia="zh-CN" w:bidi="ar-SA"/>
        </w:rPr>
        <w:t>对</w:t>
      </w:r>
      <w:r>
        <w:rPr>
          <w:rFonts w:hint="eastAsia" w:ascii="Times New Roman" w:hAnsi="Times New Roman" w:eastAsia="仿宋" w:cs="仿宋"/>
          <w:kern w:val="2"/>
          <w:sz w:val="32"/>
          <w:szCs w:val="32"/>
          <w:lang w:val="en-US" w:eastAsia="zh-CN" w:bidi="ar-SA"/>
        </w:rPr>
        <w:t>我</w:t>
      </w:r>
      <w:r>
        <w:rPr>
          <w:rFonts w:hint="default" w:ascii="Times New Roman" w:hAnsi="Times New Roman" w:eastAsia="仿宋" w:cs="仿宋"/>
          <w:kern w:val="2"/>
          <w:sz w:val="32"/>
          <w:szCs w:val="32"/>
          <w:lang w:val="en-US" w:eastAsia="zh-CN" w:bidi="ar-SA"/>
        </w:rPr>
        <w:t>区近三年财政专项资金的使用现状进行总结，揭示财政专项资金在预算编制、执行等环节中存在的问题</w:t>
      </w:r>
      <w:r>
        <w:rPr>
          <w:rFonts w:hint="eastAsia" w:ascii="Times New Roman" w:hAnsi="Times New Roman" w:eastAsia="仿宋" w:cs="仿宋"/>
          <w:kern w:val="2"/>
          <w:sz w:val="32"/>
          <w:szCs w:val="32"/>
          <w:lang w:val="en-US" w:eastAsia="zh-CN" w:bidi="ar-SA"/>
        </w:rPr>
        <w:t>及成因</w:t>
      </w:r>
      <w:r>
        <w:rPr>
          <w:rFonts w:hint="default" w:ascii="Times New Roman" w:hAnsi="Times New Roman" w:eastAsia="仿宋" w:cs="仿宋"/>
          <w:kern w:val="2"/>
          <w:sz w:val="32"/>
          <w:szCs w:val="32"/>
          <w:lang w:val="en-US" w:eastAsia="zh-CN" w:bidi="ar-SA"/>
        </w:rPr>
        <w:t>，</w:t>
      </w:r>
      <w:r>
        <w:rPr>
          <w:rFonts w:hint="eastAsia" w:ascii="Times New Roman" w:hAnsi="Times New Roman" w:eastAsia="仿宋" w:cs="仿宋"/>
          <w:kern w:val="2"/>
          <w:sz w:val="32"/>
          <w:szCs w:val="32"/>
          <w:lang w:val="en-US" w:eastAsia="zh-CN" w:bidi="ar-SA"/>
        </w:rPr>
        <w:t>并就此向区委、区政府报送专项资金审计调研报告1篇，为区委、区政府决策参考提供依据。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黑体" w:cs="Times New Roman"/>
          <w:sz w:val="32"/>
          <w:szCs w:val="32"/>
        </w:rPr>
      </w:pPr>
      <w:r>
        <w:rPr>
          <w:rFonts w:hint="eastAsia" w:ascii="Times New Roman" w:hAnsi="Times New Roman" w:eastAsia="仿宋_GB2312" w:cs="Times New Roman"/>
          <w:b/>
          <w:bCs/>
          <w:kern w:val="2"/>
          <w:sz w:val="32"/>
          <w:szCs w:val="32"/>
          <w:lang w:val="en-US" w:eastAsia="zh-CN" w:bidi="ar-SA"/>
        </w:rPr>
        <w:t>抓实问题整改，提升审计成果运用。</w:t>
      </w:r>
      <w:r>
        <w:rPr>
          <w:rFonts w:hint="eastAsia" w:ascii="Times New Roman" w:hAnsi="Times New Roman" w:eastAsia="仿宋" w:cs="仿宋"/>
          <w:kern w:val="2"/>
          <w:sz w:val="32"/>
          <w:szCs w:val="32"/>
          <w:lang w:val="en-US" w:eastAsia="zh-CN" w:bidi="ar-SA"/>
        </w:rPr>
        <w:t>组织召开区审计协作联席会议第一次会议，研究审计发现的拟移送区纪委监委和相关主管部门的问题线索情况。继续深化纪审、巡审联动协作，形成监督合力，压紧压实各方责任，推动将审计成果作为部门及领导干部个人述职评议参考依据，实现审计成果多部门互通共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四、存在的问题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因审计工作特点，委托业务费开支集中在下半年，导致预算执行进度较慢。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五、</w:t>
      </w:r>
      <w:r>
        <w:rPr>
          <w:rFonts w:ascii="Times New Roman" w:hAnsi="Times New Roman" w:eastAsia="黑体" w:cs="Times New Roman"/>
          <w:sz w:val="32"/>
          <w:szCs w:val="32"/>
        </w:rPr>
        <w:t>有关建议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cs="Times New Roman"/>
          <w:sz w:val="32"/>
          <w:szCs w:val="32"/>
          <w:lang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5" w:firstLineChars="0"/>
        <w:textAlignment w:val="auto"/>
        <w:rPr>
          <w:rFonts w:ascii="Times New Roman" w:hAnsi="Times New Roman" w:eastAsia="黑体" w:cs="Times New Roman"/>
          <w:sz w:val="32"/>
          <w:szCs w:val="32"/>
        </w:rPr>
      </w:pPr>
      <w:r>
        <w:rPr>
          <w:rFonts w:ascii="Times New Roman" w:hAnsi="Times New Roman" w:eastAsia="黑体" w:cs="Times New Roman"/>
          <w:sz w:val="32"/>
          <w:szCs w:val="32"/>
        </w:rPr>
        <w:t>其他需要说明的问题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Times New Roman" w:hAnsi="Times New Roman" w:eastAsia="仿宋_GB2312" w:cs="Times New Roman"/>
          <w:sz w:val="32"/>
          <w:szCs w:val="32"/>
          <w:lang w:eastAsia="zh-CN"/>
        </w:rPr>
        <w:t>无</w:t>
      </w:r>
    </w:p>
    <w:sectPr>
      <w:headerReference r:id="rId3" w:type="default"/>
      <w:footerReference r:id="rId4" w:type="default"/>
      <w:footerReference r:id="rId5" w:type="even"/>
      <w:pgSz w:w="11907" w:h="16840"/>
      <w:pgMar w:top="2154" w:right="1474" w:bottom="2041" w:left="1587" w:header="851" w:footer="992" w:gutter="0"/>
      <w:cols w:space="720" w:num="1"/>
      <w:docGrid w:type="lines" w:linePitch="381"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Style w:val="11"/>
                              <w:sz w:val="28"/>
                              <w:szCs w:val="28"/>
                            </w:rPr>
                          </w:pPr>
                          <w:r>
                            <w:rPr>
                              <w:sz w:val="28"/>
                              <w:szCs w:val="28"/>
                            </w:rPr>
                            <w:t xml:space="preserve">— </w:t>
                          </w:r>
                          <w:r>
                            <w:rPr>
                              <w:sz w:val="28"/>
                              <w:szCs w:val="28"/>
                            </w:rPr>
                            <w:fldChar w:fldCharType="begin"/>
                          </w:r>
                          <w:r>
                            <w:rPr>
                              <w:rStyle w:val="11"/>
                              <w:sz w:val="28"/>
                              <w:szCs w:val="28"/>
                            </w:rPr>
                            <w:instrText xml:space="preserve">PAGE  </w:instrText>
                          </w:r>
                          <w:r>
                            <w:rPr>
                              <w:sz w:val="28"/>
                              <w:szCs w:val="28"/>
                            </w:rPr>
                            <w:fldChar w:fldCharType="separate"/>
                          </w:r>
                          <w:r>
                            <w:rPr>
                              <w:rStyle w:val="11"/>
                              <w:sz w:val="28"/>
                              <w:szCs w:val="28"/>
                            </w:rPr>
                            <w:t>21</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rPr>
                        <w:rStyle w:val="11"/>
                        <w:sz w:val="28"/>
                        <w:szCs w:val="28"/>
                      </w:rPr>
                    </w:pPr>
                    <w:r>
                      <w:rPr>
                        <w:sz w:val="28"/>
                        <w:szCs w:val="28"/>
                      </w:rPr>
                      <w:t xml:space="preserve">— </w:t>
                    </w:r>
                    <w:r>
                      <w:rPr>
                        <w:sz w:val="28"/>
                        <w:szCs w:val="28"/>
                      </w:rPr>
                      <w:fldChar w:fldCharType="begin"/>
                    </w:r>
                    <w:r>
                      <w:rPr>
                        <w:rStyle w:val="11"/>
                        <w:sz w:val="28"/>
                        <w:szCs w:val="28"/>
                      </w:rPr>
                      <w:instrText xml:space="preserve">PAGE  </w:instrText>
                    </w:r>
                    <w:r>
                      <w:rPr>
                        <w:sz w:val="28"/>
                        <w:szCs w:val="28"/>
                      </w:rPr>
                      <w:fldChar w:fldCharType="separate"/>
                    </w:r>
                    <w:r>
                      <w:rPr>
                        <w:rStyle w:val="11"/>
                        <w:sz w:val="28"/>
                        <w:szCs w:val="28"/>
                      </w:rPr>
                      <w:t>21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6"/>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sz w:val="28"/>
                        <w:szCs w:val="28"/>
                      </w:rPr>
                      <w:t xml:space="preserve"> —</w:t>
                    </w:r>
                  </w:p>
                </w:txbxContent>
              </v:textbox>
            </v:shape>
          </w:pict>
        </mc:Fallback>
      </mc:AlternateContent>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CFD88A"/>
    <w:multiLevelType w:val="singleLevel"/>
    <w:tmpl w:val="40CFD88A"/>
    <w:lvl w:ilvl="0" w:tentative="0">
      <w:start w:val="5"/>
      <w:numFmt w:val="chineseCounting"/>
      <w:suff w:val="nothing"/>
      <w:lvlText w:val="%1、"/>
      <w:lvlJc w:val="left"/>
      <w:rPr>
        <w:rFonts w:hint="eastAsia"/>
      </w:rPr>
    </w:lvl>
  </w:abstractNum>
  <w:abstractNum w:abstractNumId="1">
    <w:nsid w:val="79AC1E24"/>
    <w:multiLevelType w:val="multilevel"/>
    <w:tmpl w:val="79AC1E24"/>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1MDc4OTE3ZGZjYjU1NDgyOWFhMGYyZTlkN2Q0MzkifQ=="/>
  </w:docVars>
  <w:rsids>
    <w:rsidRoot w:val="0C4E61E0"/>
    <w:rsid w:val="0A5D290E"/>
    <w:rsid w:val="0C4E61E0"/>
    <w:rsid w:val="29EC57D5"/>
    <w:rsid w:val="38D931FD"/>
    <w:rsid w:val="56F026FA"/>
    <w:rsid w:val="6D8123E6"/>
    <w:rsid w:val="7DA85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note text"/>
    <w:basedOn w:val="1"/>
    <w:next w:val="3"/>
    <w:unhideWhenUsed/>
    <w:qFormat/>
    <w:uiPriority w:val="99"/>
    <w:pPr>
      <w:snapToGrid w:val="0"/>
      <w:jc w:val="left"/>
    </w:pPr>
    <w:rPr>
      <w:sz w:val="18"/>
      <w:szCs w:val="18"/>
    </w:rPr>
  </w:style>
  <w:style w:type="paragraph" w:styleId="3">
    <w:name w:val="Body Text"/>
    <w:basedOn w:val="1"/>
    <w:unhideWhenUsed/>
    <w:qFormat/>
    <w:uiPriority w:val="99"/>
    <w:pPr>
      <w:ind w:right="214"/>
    </w:pPr>
    <w:rPr>
      <w:rFonts w:ascii="仿宋_GB2312"/>
    </w:rPr>
  </w:style>
  <w:style w:type="paragraph" w:styleId="4">
    <w:name w:val="Body Text Indent"/>
    <w:basedOn w:val="1"/>
    <w:next w:val="5"/>
    <w:unhideWhenUsed/>
    <w:qFormat/>
    <w:uiPriority w:val="99"/>
    <w:pPr>
      <w:ind w:firstLine="540"/>
    </w:pPr>
    <w:rPr>
      <w:sz w:val="30"/>
    </w:rPr>
  </w:style>
  <w:style w:type="paragraph" w:styleId="5">
    <w:name w:val="Body Text First Indent 2"/>
    <w:basedOn w:val="4"/>
    <w:next w:val="1"/>
    <w:unhideWhenUsed/>
    <w:qFormat/>
    <w:uiPriority w:val="99"/>
    <w:pPr>
      <w:ind w:firstLine="420" w:firstLineChars="200"/>
    </w:p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2292</Words>
  <Characters>2436</Characters>
  <Lines>0</Lines>
  <Paragraphs>0</Paragraphs>
  <TotalTime>0</TotalTime>
  <ScaleCrop>false</ScaleCrop>
  <LinksUpToDate>false</LinksUpToDate>
  <CharactersWithSpaces>2455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2022-09-16T09:13:00Z</dcterms:created>
  <dc:creator>Administrator</dc:creator>
  <cp:lastModifiedBy>Administrator</cp:lastModifiedBy>
  <dcterms:modified xsi:type="dcterms:W3CDTF">2023-10-12T06:07:06Z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49280C609C174A79A9D5977725475569</vt:lpwstr>
  </property>
</Properties>
</file>