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方正小标宋简体" w:hAnsi="方正小标宋简体" w:eastAsia="方正小标宋简体" w:cs="方正小标宋简体"/>
          <w:b/>
          <w:bCs/>
          <w:sz w:val="48"/>
          <w:szCs w:val="48"/>
        </w:rPr>
      </w:pPr>
      <w:r>
        <w:rPr>
          <w:rFonts w:hint="eastAsia" w:ascii="方正小标宋简体" w:hAnsi="方正小标宋简体" w:eastAsia="方正小标宋简体" w:cs="方正小标宋简体"/>
          <w:b/>
          <w:bCs/>
          <w:sz w:val="48"/>
          <w:szCs w:val="48"/>
        </w:rPr>
        <w:t>2022年度长沙市开福区</w:t>
      </w:r>
      <w:r>
        <w:rPr>
          <w:rFonts w:hint="eastAsia" w:ascii="方正小标宋简体" w:hAnsi="方正小标宋简体" w:eastAsia="方正小标宋简体" w:cs="方正小标宋简体"/>
          <w:b/>
          <w:bCs/>
          <w:sz w:val="48"/>
          <w:szCs w:val="48"/>
          <w:lang w:val="en-US" w:eastAsia="zh-CN"/>
        </w:rPr>
        <w:t>城市</w:t>
      </w:r>
      <w:r>
        <w:rPr>
          <w:rFonts w:hint="eastAsia" w:ascii="方正小标宋简体" w:hAnsi="方正小标宋简体" w:eastAsia="方正小标宋简体" w:cs="方正小标宋简体"/>
          <w:b/>
          <w:bCs/>
          <w:sz w:val="48"/>
          <w:szCs w:val="48"/>
        </w:rPr>
        <w:t>人居环境局</w:t>
      </w:r>
    </w:p>
    <w:p>
      <w:pPr>
        <w:jc w:val="center"/>
        <w:rPr>
          <w:rFonts w:ascii="方正小标宋简体" w:hAnsi="方正小标宋简体" w:eastAsia="方正小标宋简体" w:cs="方正小标宋简体"/>
          <w:b/>
          <w:bCs/>
          <w:sz w:val="48"/>
          <w:szCs w:val="48"/>
        </w:rPr>
      </w:pPr>
      <w:r>
        <w:rPr>
          <w:rFonts w:hint="eastAsia" w:ascii="方正小标宋简体" w:hAnsi="方正小标宋简体" w:eastAsia="方正小标宋简体" w:cs="方正小标宋简体"/>
          <w:b/>
          <w:bCs/>
          <w:sz w:val="48"/>
          <w:szCs w:val="48"/>
          <w:lang w:eastAsia="zh-CN"/>
        </w:rPr>
        <w:t>重点项目</w:t>
      </w:r>
      <w:r>
        <w:rPr>
          <w:rFonts w:hint="eastAsia" w:ascii="方正小标宋简体" w:hAnsi="方正小标宋简体" w:eastAsia="方正小标宋简体" w:cs="方正小标宋简体"/>
          <w:b/>
          <w:bCs/>
          <w:sz w:val="48"/>
          <w:szCs w:val="48"/>
        </w:rPr>
        <w:t>绩效自评报告</w:t>
      </w:r>
    </w:p>
    <w:p>
      <w:pPr>
        <w:jc w:val="center"/>
        <w:rPr>
          <w:b/>
          <w:bCs/>
          <w:sz w:val="52"/>
          <w:szCs w:val="52"/>
        </w:rPr>
      </w:pPr>
    </w:p>
    <w:p>
      <w:pPr>
        <w:jc w:val="center"/>
        <w:rPr>
          <w:b/>
          <w:bCs/>
          <w:sz w:val="52"/>
          <w:szCs w:val="52"/>
        </w:rPr>
      </w:pPr>
    </w:p>
    <w:p>
      <w:pPr>
        <w:jc w:val="center"/>
        <w:rPr>
          <w:b/>
          <w:bCs/>
          <w:sz w:val="52"/>
          <w:szCs w:val="52"/>
        </w:rPr>
      </w:pPr>
    </w:p>
    <w:p>
      <w:pPr>
        <w:jc w:val="center"/>
        <w:rPr>
          <w:b/>
          <w:bCs/>
          <w:sz w:val="52"/>
          <w:szCs w:val="52"/>
        </w:rPr>
      </w:pPr>
    </w:p>
    <w:p>
      <w:pPr>
        <w:jc w:val="center"/>
        <w:rPr>
          <w:b/>
          <w:bCs/>
          <w:sz w:val="52"/>
          <w:szCs w:val="52"/>
        </w:rPr>
      </w:pPr>
    </w:p>
    <w:p>
      <w:pPr>
        <w:jc w:val="center"/>
        <w:rPr>
          <w:b/>
          <w:bCs/>
          <w:sz w:val="52"/>
          <w:szCs w:val="52"/>
        </w:rPr>
      </w:pPr>
    </w:p>
    <w:p>
      <w:pPr>
        <w:jc w:val="center"/>
        <w:rPr>
          <w:b/>
          <w:bCs/>
          <w:sz w:val="52"/>
          <w:szCs w:val="52"/>
        </w:rPr>
      </w:pPr>
    </w:p>
    <w:p>
      <w:pPr>
        <w:jc w:val="center"/>
        <w:rPr>
          <w:b/>
          <w:bCs/>
          <w:sz w:val="52"/>
          <w:szCs w:val="52"/>
        </w:rPr>
      </w:pPr>
    </w:p>
    <w:p>
      <w:pPr>
        <w:jc w:val="center"/>
        <w:rPr>
          <w:b/>
          <w:bCs/>
          <w:sz w:val="52"/>
          <w:szCs w:val="52"/>
        </w:rPr>
      </w:pPr>
    </w:p>
    <w:p>
      <w:pPr>
        <w:jc w:val="center"/>
        <w:rPr>
          <w:b/>
          <w:bCs/>
          <w:sz w:val="52"/>
          <w:szCs w:val="52"/>
        </w:rPr>
      </w:pPr>
    </w:p>
    <w:p>
      <w:pPr>
        <w:jc w:val="center"/>
        <w:rPr>
          <w:b/>
          <w:bCs/>
          <w:sz w:val="52"/>
          <w:szCs w:val="52"/>
        </w:rPr>
      </w:pPr>
    </w:p>
    <w:p>
      <w:pPr>
        <w:jc w:val="center"/>
        <w:rPr>
          <w:b/>
          <w:bCs/>
          <w:sz w:val="52"/>
          <w:szCs w:val="52"/>
        </w:rPr>
      </w:pPr>
    </w:p>
    <w:p>
      <w:pPr>
        <w:jc w:val="center"/>
        <w:rPr>
          <w:b/>
          <w:bCs/>
          <w:sz w:val="52"/>
          <w:szCs w:val="52"/>
        </w:rPr>
      </w:pPr>
    </w:p>
    <w:p>
      <w:pPr>
        <w:jc w:val="center"/>
        <w:rPr>
          <w:b/>
          <w:bCs/>
          <w:sz w:val="52"/>
          <w:szCs w:val="52"/>
        </w:rPr>
      </w:pPr>
    </w:p>
    <w:p>
      <w:pPr>
        <w:jc w:val="center"/>
        <w:rPr>
          <w:b/>
          <w:bCs/>
          <w:sz w:val="52"/>
          <w:szCs w:val="52"/>
        </w:rPr>
      </w:pPr>
    </w:p>
    <w:p>
      <w:pPr>
        <w:jc w:val="center"/>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单位名称：长沙市开福区城市人居环境局</w:t>
      </w:r>
    </w:p>
    <w:p>
      <w:pPr>
        <w:jc w:val="center"/>
        <w:rPr>
          <w:b/>
          <w:bCs/>
          <w:sz w:val="32"/>
          <w:szCs w:val="32"/>
        </w:rPr>
        <w:sectPr>
          <w:footerReference r:id="rId3" w:type="default"/>
          <w:pgSz w:w="11906" w:h="16838"/>
          <w:pgMar w:top="1440" w:right="1800" w:bottom="1440" w:left="1800" w:header="851" w:footer="992" w:gutter="0"/>
          <w:cols w:space="425" w:num="1"/>
          <w:docGrid w:type="lines" w:linePitch="312" w:charSpace="0"/>
        </w:sectPr>
      </w:pPr>
    </w:p>
    <w:p>
      <w:pPr>
        <w:jc w:val="center"/>
        <w:rPr>
          <w:rFonts w:hint="eastAsia" w:eastAsia="仿宋_GB2312"/>
          <w:b/>
          <w:bCs/>
          <w:sz w:val="40"/>
          <w:szCs w:val="40"/>
          <w:lang w:eastAsia="zh-CN"/>
        </w:rPr>
      </w:pPr>
      <w:r>
        <w:rPr>
          <w:rFonts w:hint="eastAsia"/>
          <w:b/>
          <w:bCs/>
          <w:sz w:val="40"/>
          <w:szCs w:val="40"/>
        </w:rPr>
        <w:t>2022年度</w:t>
      </w:r>
      <w:r>
        <w:rPr>
          <w:rFonts w:hint="eastAsia"/>
          <w:b/>
          <w:bCs/>
          <w:sz w:val="40"/>
          <w:szCs w:val="40"/>
          <w:lang w:eastAsia="zh-CN"/>
        </w:rPr>
        <w:t>长沙市开福区城市人居环境局</w:t>
      </w:r>
    </w:p>
    <w:p>
      <w:pPr>
        <w:jc w:val="center"/>
        <w:rPr>
          <w:b/>
          <w:bCs/>
          <w:sz w:val="40"/>
          <w:szCs w:val="40"/>
        </w:rPr>
      </w:pPr>
      <w:r>
        <w:rPr>
          <w:rFonts w:hint="eastAsia"/>
          <w:b/>
          <w:bCs/>
          <w:sz w:val="40"/>
          <w:szCs w:val="40"/>
          <w:lang w:eastAsia="zh-CN"/>
        </w:rPr>
        <w:t>重点项目</w:t>
      </w:r>
      <w:r>
        <w:rPr>
          <w:rFonts w:hint="eastAsia"/>
          <w:b/>
          <w:bCs/>
          <w:sz w:val="40"/>
          <w:szCs w:val="40"/>
        </w:rPr>
        <w:t>绩效自评报告</w:t>
      </w:r>
    </w:p>
    <w:p>
      <w:pPr>
        <w:ind w:firstLine="560" w:firstLineChars="200"/>
      </w:pPr>
    </w:p>
    <w:p>
      <w:pPr>
        <w:ind w:firstLine="560" w:firstLineChars="200"/>
      </w:pPr>
      <w:r>
        <w:rPr>
          <w:rFonts w:hint="eastAsia"/>
        </w:rPr>
        <w:t>为进一步规范财政资金管理，强化部门绩效和责任意识，切实提高财政资金使用效益，按照《中共中央国务院关于全面实施预算绩效管理的意见》（中发〔2018〕34号）、《项目支出绩效评价管理办法》（财预〔2020〕10号）、《中共湖南省委办公厅湖南省人民政府办公厅关于全面实施预算绩效管理的实施意见》（湘办发〔2019〕10号）以及长沙市开福区财政局2023年4月11日《关于开展2022年度区级预算部门绩效自评工作的通知》，我局对2022年整体支出资金展开了绩效自评工作。现将绩效自评结果报告如下：</w:t>
      </w:r>
    </w:p>
    <w:p>
      <w:pPr>
        <w:pStyle w:val="2"/>
        <w:ind w:firstLine="643"/>
      </w:pPr>
      <w:r>
        <w:rPr>
          <w:rFonts w:hint="eastAsia"/>
        </w:rPr>
        <w:t>一、基本情况</w:t>
      </w:r>
    </w:p>
    <w:p>
      <w:pPr>
        <w:pStyle w:val="3"/>
        <w:ind w:firstLine="643"/>
      </w:pPr>
      <w:r>
        <w:rPr>
          <w:rFonts w:hint="eastAsia"/>
        </w:rPr>
        <w:t>（一）单位基本情况</w:t>
      </w:r>
    </w:p>
    <w:p>
      <w:pPr>
        <w:pStyle w:val="4"/>
        <w:ind w:firstLine="640"/>
      </w:pPr>
      <w:r>
        <w:rPr>
          <w:rFonts w:hint="eastAsia"/>
        </w:rPr>
        <w:t>1.机构情况</w:t>
      </w:r>
    </w:p>
    <w:p>
      <w:pPr>
        <w:spacing w:line="360" w:lineRule="auto"/>
        <w:ind w:firstLine="640" w:firstLineChars="200"/>
        <w:rPr>
          <w:sz w:val="32"/>
          <w:szCs w:val="32"/>
        </w:rPr>
      </w:pPr>
      <w:r>
        <w:rPr>
          <w:sz w:val="32"/>
          <w:szCs w:val="32"/>
        </w:rPr>
        <w:t>长沙市开福区城市人居环境局根据区委、区政府关于机构改革和优化城市人居环境的统一决策部署，于2019年3月13日正式挂牌成立</w:t>
      </w:r>
      <w:r>
        <w:rPr>
          <w:rFonts w:hint="eastAsia"/>
          <w:sz w:val="32"/>
          <w:szCs w:val="32"/>
        </w:rPr>
        <w:t>，系</w:t>
      </w:r>
      <w:r>
        <w:rPr>
          <w:sz w:val="32"/>
          <w:szCs w:val="32"/>
        </w:rPr>
        <w:t>隶属于</w:t>
      </w:r>
      <w:r>
        <w:rPr>
          <w:rFonts w:hint="eastAsia"/>
          <w:sz w:val="32"/>
          <w:szCs w:val="32"/>
        </w:rPr>
        <w:t>长沙市</w:t>
      </w:r>
      <w:r>
        <w:rPr>
          <w:sz w:val="32"/>
          <w:szCs w:val="32"/>
        </w:rPr>
        <w:t>开福区人民政府的全额拨款行政单位。</w:t>
      </w:r>
      <w:r>
        <w:rPr>
          <w:rFonts w:hint="eastAsia"/>
          <w:sz w:val="32"/>
          <w:szCs w:val="32"/>
        </w:rPr>
        <w:t>我局内设5个科室：办公室（行政审批和政务服务科）、项目管理科、棚户区和城中村改造管理科、老旧小区和危旧房改造管理科和历史文化名城保护管理科，下设2个二级机构，分别为长沙市开福区城市房屋征收和补偿管理办公室、长沙市开福区棚户区改造事务中心。</w:t>
      </w:r>
    </w:p>
    <w:p>
      <w:pPr>
        <w:pStyle w:val="4"/>
        <w:ind w:firstLine="640"/>
      </w:pPr>
      <w:r>
        <w:rPr>
          <w:rFonts w:hint="eastAsia"/>
        </w:rPr>
        <w:t>2.主要职能</w:t>
      </w:r>
    </w:p>
    <w:p>
      <w:pPr>
        <w:spacing w:line="360" w:lineRule="auto"/>
        <w:ind w:firstLine="640" w:firstLineChars="200"/>
        <w:rPr>
          <w:sz w:val="32"/>
          <w:szCs w:val="32"/>
        </w:rPr>
      </w:pPr>
      <w:r>
        <w:rPr>
          <w:rFonts w:hint="eastAsia"/>
          <w:sz w:val="32"/>
          <w:szCs w:val="32"/>
        </w:rPr>
        <w:t>我局主要职能概括为“12511”：即1个“中心”：城市更新；2个“保护”：历史文化名城保护和近现代（历史）建筑保护；5个“改造”，包括棚户区改造、城中村改造、老旧小区改造、街区“微改造”、危旧房改造；1项“重点”，就是一圈两场三道建设；1个基础：城市房屋征收与补偿。同时，做好“中国人居环境范例奖”和“联合国人居署可持续发展范例奖”创建及配合市局做好“中国人居环境奖”创建等方面的工作。</w:t>
      </w:r>
    </w:p>
    <w:p>
      <w:pPr>
        <w:pStyle w:val="3"/>
        <w:ind w:firstLine="643"/>
        <w:rPr>
          <w:rFonts w:hint="eastAsia" w:eastAsia="楷体_GB2312"/>
          <w:lang w:eastAsia="zh-CN"/>
        </w:rPr>
      </w:pPr>
      <w:r>
        <w:rPr>
          <w:rFonts w:hint="eastAsia"/>
          <w:lang w:eastAsia="zh-CN"/>
        </w:rPr>
        <w:t>重点</w:t>
      </w:r>
      <w:r>
        <w:rPr>
          <w:rFonts w:hint="eastAsia"/>
        </w:rPr>
        <w:t>项目支出情况</w:t>
      </w:r>
    </w:p>
    <w:p>
      <w:pPr>
        <w:pStyle w:val="4"/>
        <w:ind w:firstLine="640"/>
      </w:pPr>
      <w:r>
        <w:rPr>
          <w:rFonts w:hint="eastAsia"/>
        </w:rPr>
        <w:t>1.项目支出预算执行情况</w:t>
      </w:r>
    </w:p>
    <w:p>
      <w:pPr>
        <w:spacing w:line="360" w:lineRule="auto"/>
        <w:ind w:firstLine="640" w:firstLineChars="200"/>
        <w:rPr>
          <w:sz w:val="32"/>
          <w:szCs w:val="32"/>
        </w:rPr>
      </w:pPr>
      <w:r>
        <w:rPr>
          <w:rFonts w:hint="eastAsia"/>
          <w:sz w:val="32"/>
          <w:szCs w:val="32"/>
        </w:rPr>
        <w:t>2022年财政批复我局</w:t>
      </w:r>
      <w:r>
        <w:rPr>
          <w:rFonts w:hint="eastAsia"/>
          <w:sz w:val="32"/>
          <w:szCs w:val="32"/>
          <w:lang w:eastAsia="zh-CN"/>
        </w:rPr>
        <w:t>重点</w:t>
      </w:r>
      <w:r>
        <w:rPr>
          <w:rFonts w:hint="eastAsia"/>
          <w:sz w:val="32"/>
          <w:szCs w:val="32"/>
        </w:rPr>
        <w:t>项目支出预算为</w:t>
      </w:r>
      <w:r>
        <w:rPr>
          <w:rFonts w:hint="eastAsia"/>
          <w:sz w:val="32"/>
          <w:szCs w:val="32"/>
          <w:lang w:val="en-US" w:eastAsia="zh-CN"/>
        </w:rPr>
        <w:t>35083.63</w:t>
      </w:r>
      <w:r>
        <w:rPr>
          <w:rFonts w:hint="eastAsia"/>
          <w:sz w:val="32"/>
          <w:szCs w:val="32"/>
        </w:rPr>
        <w:t>万元，上年结转</w:t>
      </w:r>
      <w:r>
        <w:rPr>
          <w:rFonts w:hint="eastAsia"/>
          <w:sz w:val="32"/>
          <w:szCs w:val="32"/>
          <w:lang w:val="en-US" w:eastAsia="zh-CN"/>
        </w:rPr>
        <w:t>3812.3</w:t>
      </w:r>
      <w:r>
        <w:rPr>
          <w:rFonts w:hint="eastAsia"/>
          <w:sz w:val="32"/>
          <w:szCs w:val="32"/>
        </w:rPr>
        <w:t>万元，年中追加</w:t>
      </w:r>
      <w:r>
        <w:rPr>
          <w:rFonts w:hint="eastAsia"/>
          <w:sz w:val="32"/>
          <w:szCs w:val="32"/>
          <w:lang w:val="en-US" w:eastAsia="zh-CN"/>
        </w:rPr>
        <w:t>31271.33</w:t>
      </w:r>
      <w:r>
        <w:rPr>
          <w:rFonts w:hint="eastAsia"/>
          <w:sz w:val="32"/>
          <w:szCs w:val="32"/>
        </w:rPr>
        <w:t>万元，全年预算为</w:t>
      </w:r>
      <w:r>
        <w:rPr>
          <w:rFonts w:hint="eastAsia"/>
          <w:sz w:val="32"/>
          <w:szCs w:val="32"/>
          <w:lang w:val="en-US" w:eastAsia="zh-CN"/>
        </w:rPr>
        <w:t>35083.63</w:t>
      </w:r>
      <w:r>
        <w:rPr>
          <w:rFonts w:hint="eastAsia"/>
          <w:sz w:val="32"/>
          <w:szCs w:val="32"/>
        </w:rPr>
        <w:t>万元；实际支出为</w:t>
      </w:r>
      <w:r>
        <w:rPr>
          <w:rFonts w:hint="eastAsia"/>
          <w:sz w:val="32"/>
          <w:szCs w:val="32"/>
          <w:lang w:val="en-US" w:eastAsia="zh-CN"/>
        </w:rPr>
        <w:t>15235.25</w:t>
      </w:r>
      <w:r>
        <w:rPr>
          <w:rFonts w:hint="eastAsia"/>
          <w:sz w:val="32"/>
          <w:szCs w:val="32"/>
        </w:rPr>
        <w:t>万元，结余</w:t>
      </w:r>
      <w:r>
        <w:rPr>
          <w:rFonts w:hint="eastAsia"/>
          <w:sz w:val="32"/>
          <w:szCs w:val="32"/>
          <w:lang w:val="en-US" w:eastAsia="zh-CN"/>
        </w:rPr>
        <w:t>19848.38</w:t>
      </w:r>
      <w:r>
        <w:rPr>
          <w:rFonts w:hint="eastAsia"/>
          <w:sz w:val="32"/>
          <w:szCs w:val="32"/>
        </w:rPr>
        <w:t>万元，预算执行率为4</w:t>
      </w:r>
      <w:r>
        <w:rPr>
          <w:rFonts w:hint="eastAsia"/>
          <w:sz w:val="32"/>
          <w:szCs w:val="32"/>
          <w:lang w:val="en-US" w:eastAsia="zh-CN"/>
        </w:rPr>
        <w:t>3</w:t>
      </w:r>
      <w:r>
        <w:rPr>
          <w:rFonts w:hint="eastAsia"/>
          <w:sz w:val="32"/>
          <w:szCs w:val="32"/>
        </w:rPr>
        <w:t>.</w:t>
      </w:r>
      <w:r>
        <w:rPr>
          <w:rFonts w:hint="eastAsia"/>
          <w:sz w:val="32"/>
          <w:szCs w:val="32"/>
          <w:lang w:val="en-US" w:eastAsia="zh-CN"/>
        </w:rPr>
        <w:t>43</w:t>
      </w:r>
      <w:r>
        <w:rPr>
          <w:rFonts w:hint="eastAsia"/>
          <w:sz w:val="32"/>
          <w:szCs w:val="32"/>
        </w:rPr>
        <w:t>%。</w:t>
      </w:r>
    </w:p>
    <w:p>
      <w:pPr>
        <w:spacing w:line="360" w:lineRule="auto"/>
        <w:jc w:val="center"/>
        <w:rPr>
          <w:sz w:val="21"/>
          <w:szCs w:val="21"/>
        </w:rPr>
      </w:pPr>
      <w:r>
        <w:rPr>
          <w:sz w:val="21"/>
          <w:szCs w:val="21"/>
        </w:rPr>
        <w:t>表</w:t>
      </w:r>
      <w:r>
        <w:rPr>
          <w:rFonts w:hint="eastAsia"/>
          <w:sz w:val="21"/>
          <w:szCs w:val="21"/>
        </w:rPr>
        <w:t>三</w:t>
      </w:r>
      <w:r>
        <w:rPr>
          <w:sz w:val="21"/>
          <w:szCs w:val="21"/>
        </w:rPr>
        <w:t>：</w:t>
      </w:r>
      <w:r>
        <w:rPr>
          <w:rFonts w:hint="eastAsia"/>
          <w:sz w:val="21"/>
          <w:szCs w:val="21"/>
        </w:rPr>
        <w:t>项目</w:t>
      </w:r>
      <w:r>
        <w:rPr>
          <w:sz w:val="21"/>
          <w:szCs w:val="21"/>
        </w:rPr>
        <w:t>支出情况表</w:t>
      </w:r>
    </w:p>
    <w:p>
      <w:pPr>
        <w:spacing w:line="360" w:lineRule="auto"/>
        <w:jc w:val="right"/>
        <w:rPr>
          <w:sz w:val="21"/>
          <w:szCs w:val="21"/>
        </w:rPr>
      </w:pPr>
      <w:r>
        <w:rPr>
          <w:rFonts w:hint="eastAsia"/>
          <w:sz w:val="21"/>
          <w:szCs w:val="21"/>
        </w:rPr>
        <w:t>单位：万元</w:t>
      </w:r>
    </w:p>
    <w:tbl>
      <w:tblPr>
        <w:tblStyle w:val="7"/>
        <w:tblW w:w="5000" w:type="pct"/>
        <w:tblInd w:w="0" w:type="dxa"/>
        <w:tblLayout w:type="autofit"/>
        <w:tblCellMar>
          <w:top w:w="0" w:type="dxa"/>
          <w:left w:w="108" w:type="dxa"/>
          <w:bottom w:w="0" w:type="dxa"/>
          <w:right w:w="108" w:type="dxa"/>
        </w:tblCellMar>
      </w:tblPr>
      <w:tblGrid>
        <w:gridCol w:w="576"/>
        <w:gridCol w:w="1238"/>
        <w:gridCol w:w="936"/>
        <w:gridCol w:w="936"/>
        <w:gridCol w:w="936"/>
        <w:gridCol w:w="936"/>
        <w:gridCol w:w="938"/>
        <w:gridCol w:w="938"/>
        <w:gridCol w:w="1088"/>
      </w:tblGrid>
      <w:tr>
        <w:tblPrEx>
          <w:tblCellMar>
            <w:top w:w="0" w:type="dxa"/>
            <w:left w:w="108" w:type="dxa"/>
            <w:bottom w:w="0" w:type="dxa"/>
            <w:right w:w="108" w:type="dxa"/>
          </w:tblCellMar>
        </w:tblPrEx>
        <w:trPr>
          <w:trHeight w:val="397"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lang w:bidi="ar"/>
              </w:rPr>
              <w:t>序号</w:t>
            </w:r>
          </w:p>
        </w:tc>
        <w:tc>
          <w:tcPr>
            <w:tcW w:w="72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lang w:bidi="ar"/>
              </w:rPr>
              <w:t>项目</w:t>
            </w:r>
          </w:p>
        </w:tc>
        <w:tc>
          <w:tcPr>
            <w:tcW w:w="219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lang w:bidi="ar"/>
              </w:rPr>
              <w:t>收入</w:t>
            </w:r>
          </w:p>
        </w:tc>
        <w:tc>
          <w:tcPr>
            <w:tcW w:w="55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宋体"/>
                <w:color w:val="000000"/>
                <w:kern w:val="0"/>
                <w:sz w:val="18"/>
                <w:szCs w:val="18"/>
                <w:lang w:bidi="ar"/>
              </w:rPr>
            </w:pPr>
            <w:r>
              <w:rPr>
                <w:rFonts w:eastAsia="宋体"/>
                <w:color w:val="000000"/>
                <w:kern w:val="0"/>
                <w:sz w:val="18"/>
                <w:szCs w:val="18"/>
                <w:lang w:bidi="ar"/>
              </w:rPr>
              <w:t>实际</w:t>
            </w:r>
          </w:p>
          <w:p>
            <w:pPr>
              <w:widowControl/>
              <w:spacing w:line="240" w:lineRule="exact"/>
              <w:jc w:val="center"/>
              <w:textAlignment w:val="center"/>
              <w:rPr>
                <w:rFonts w:eastAsia="宋体"/>
                <w:color w:val="000000"/>
                <w:sz w:val="18"/>
                <w:szCs w:val="18"/>
              </w:rPr>
            </w:pPr>
            <w:r>
              <w:rPr>
                <w:rFonts w:eastAsia="宋体"/>
                <w:color w:val="000000"/>
                <w:kern w:val="0"/>
                <w:sz w:val="18"/>
                <w:szCs w:val="18"/>
                <w:lang w:bidi="ar"/>
              </w:rPr>
              <w:t>支出</w:t>
            </w:r>
          </w:p>
        </w:tc>
        <w:tc>
          <w:tcPr>
            <w:tcW w:w="55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lang w:bidi="ar"/>
              </w:rPr>
              <w:t>结余</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宋体"/>
                <w:color w:val="000000"/>
                <w:kern w:val="0"/>
                <w:sz w:val="18"/>
                <w:szCs w:val="18"/>
                <w:lang w:bidi="ar"/>
              </w:rPr>
            </w:pPr>
            <w:r>
              <w:rPr>
                <w:rFonts w:eastAsia="宋体"/>
                <w:color w:val="000000"/>
                <w:kern w:val="0"/>
                <w:sz w:val="18"/>
                <w:szCs w:val="18"/>
                <w:lang w:bidi="ar"/>
              </w:rPr>
              <w:t>预算执</w:t>
            </w:r>
          </w:p>
          <w:p>
            <w:pPr>
              <w:widowControl/>
              <w:spacing w:line="240" w:lineRule="exact"/>
              <w:jc w:val="center"/>
              <w:textAlignment w:val="center"/>
              <w:rPr>
                <w:rFonts w:eastAsia="宋体"/>
                <w:color w:val="000000"/>
                <w:sz w:val="18"/>
                <w:szCs w:val="18"/>
              </w:rPr>
            </w:pPr>
            <w:r>
              <w:rPr>
                <w:rFonts w:eastAsia="宋体"/>
                <w:color w:val="000000"/>
                <w:kern w:val="0"/>
                <w:sz w:val="18"/>
                <w:szCs w:val="18"/>
                <w:lang w:bidi="ar"/>
              </w:rPr>
              <w:t>行率（%）</w:t>
            </w:r>
          </w:p>
        </w:tc>
      </w:tr>
      <w:tr>
        <w:tblPrEx>
          <w:tblCellMar>
            <w:top w:w="0" w:type="dxa"/>
            <w:left w:w="108" w:type="dxa"/>
            <w:bottom w:w="0" w:type="dxa"/>
            <w:right w:w="108" w:type="dxa"/>
          </w:tblCellMar>
        </w:tblPrEx>
        <w:trPr>
          <w:trHeight w:val="397"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eastAsia="宋体"/>
                <w:color w:val="000000"/>
                <w:sz w:val="18"/>
                <w:szCs w:val="18"/>
              </w:rPr>
            </w:pPr>
          </w:p>
        </w:tc>
        <w:tc>
          <w:tcPr>
            <w:tcW w:w="7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eastAsia="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lang w:bidi="ar"/>
              </w:rPr>
              <w:t>上年结转</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lang w:bidi="ar"/>
              </w:rPr>
              <w:t>年初预算</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lang w:bidi="ar"/>
              </w:rPr>
              <w:t>年中追加</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lang w:bidi="ar"/>
              </w:rPr>
              <w:t>小计</w:t>
            </w:r>
          </w:p>
        </w:tc>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eastAsia="宋体"/>
                <w:color w:val="000000"/>
                <w:sz w:val="18"/>
                <w:szCs w:val="18"/>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eastAsia="宋体"/>
                <w:color w:val="000000"/>
                <w:sz w:val="18"/>
                <w:szCs w:val="18"/>
              </w:rPr>
            </w:pP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eastAsia="宋体"/>
                <w:color w:val="000000"/>
                <w:sz w:val="18"/>
                <w:szCs w:val="18"/>
              </w:rPr>
            </w:pPr>
          </w:p>
        </w:tc>
      </w:tr>
      <w:tr>
        <w:tblPrEx>
          <w:tblCellMar>
            <w:top w:w="0" w:type="dxa"/>
            <w:left w:w="108" w:type="dxa"/>
            <w:bottom w:w="0" w:type="dxa"/>
            <w:right w:w="108" w:type="dxa"/>
          </w:tblCellMar>
        </w:tblPrEx>
        <w:trPr>
          <w:trHeight w:val="397"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lang w:bidi="ar"/>
              </w:rPr>
              <w:t>1</w:t>
            </w: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eastAsia="宋体"/>
                <w:color w:val="000000"/>
                <w:kern w:val="0"/>
                <w:sz w:val="18"/>
                <w:szCs w:val="18"/>
                <w:lang w:bidi="ar"/>
              </w:rPr>
            </w:pPr>
            <w:r>
              <w:rPr>
                <w:rFonts w:eastAsia="宋体"/>
                <w:color w:val="000000"/>
                <w:kern w:val="0"/>
                <w:sz w:val="18"/>
                <w:szCs w:val="18"/>
                <w:lang w:bidi="ar"/>
              </w:rPr>
              <w:t>老旧小区</w:t>
            </w:r>
          </w:p>
          <w:p>
            <w:pPr>
              <w:widowControl/>
              <w:spacing w:line="240" w:lineRule="exact"/>
              <w:jc w:val="left"/>
              <w:textAlignment w:val="center"/>
              <w:rPr>
                <w:rFonts w:eastAsia="宋体"/>
                <w:color w:val="000000"/>
                <w:sz w:val="18"/>
                <w:szCs w:val="18"/>
              </w:rPr>
            </w:pPr>
            <w:r>
              <w:rPr>
                <w:rFonts w:eastAsia="宋体"/>
                <w:color w:val="000000"/>
                <w:kern w:val="0"/>
                <w:sz w:val="18"/>
                <w:szCs w:val="18"/>
                <w:lang w:bidi="ar"/>
              </w:rPr>
              <w:t>改造</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3,812.30</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0.00</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31,152.05</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34,964.35</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15,115.97</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19,848.38</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43.23</w:t>
            </w:r>
          </w:p>
        </w:tc>
      </w:tr>
      <w:tr>
        <w:tblPrEx>
          <w:tblCellMar>
            <w:top w:w="0" w:type="dxa"/>
            <w:left w:w="108" w:type="dxa"/>
            <w:bottom w:w="0" w:type="dxa"/>
            <w:right w:w="108" w:type="dxa"/>
          </w:tblCellMar>
        </w:tblPrEx>
        <w:trPr>
          <w:trHeight w:val="397"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lang w:bidi="ar"/>
              </w:rPr>
              <w:t>4</w:t>
            </w: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lang w:bidi="ar"/>
              </w:rPr>
              <w:t>棚户区改造</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0.00</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0.00</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119.28</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119.28</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119.28</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0.00</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100.00</w:t>
            </w:r>
          </w:p>
        </w:tc>
      </w:tr>
      <w:tr>
        <w:tblPrEx>
          <w:tblCellMar>
            <w:top w:w="0" w:type="dxa"/>
            <w:left w:w="108" w:type="dxa"/>
            <w:bottom w:w="0" w:type="dxa"/>
            <w:right w:w="108" w:type="dxa"/>
          </w:tblCellMar>
        </w:tblPrEx>
        <w:trPr>
          <w:trHeight w:val="397"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eastAsia="宋体"/>
                <w:color w:val="000000"/>
                <w:sz w:val="18"/>
                <w:szCs w:val="18"/>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lang w:bidi="ar"/>
              </w:rPr>
              <w:t>合计</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eastAsia="宋体"/>
                <w:color w:val="000000"/>
                <w:sz w:val="18"/>
                <w:szCs w:val="18"/>
                <w:lang w:val="en-US" w:eastAsia="zh-CN"/>
              </w:rPr>
            </w:pPr>
            <w:r>
              <w:rPr>
                <w:rFonts w:hint="eastAsia" w:eastAsia="宋体"/>
                <w:color w:val="000000"/>
                <w:kern w:val="0"/>
                <w:sz w:val="18"/>
                <w:szCs w:val="18"/>
                <w:lang w:val="en-US" w:eastAsia="zh-CN" w:bidi="ar"/>
              </w:rPr>
              <w:t>3812.3</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eastAsia="宋体"/>
                <w:color w:val="000000"/>
                <w:sz w:val="18"/>
                <w:szCs w:val="18"/>
                <w:lang w:eastAsia="zh-CN"/>
              </w:rPr>
            </w:pPr>
            <w:r>
              <w:rPr>
                <w:rFonts w:hint="eastAsia" w:eastAsia="宋体"/>
                <w:color w:val="000000"/>
                <w:kern w:val="0"/>
                <w:sz w:val="18"/>
                <w:szCs w:val="18"/>
                <w:lang w:val="en-US" w:eastAsia="zh-CN" w:bidi="ar"/>
              </w:rPr>
              <w:t>0</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eastAsia="宋体"/>
                <w:color w:val="000000"/>
                <w:sz w:val="18"/>
                <w:szCs w:val="18"/>
                <w:lang w:val="en-US" w:eastAsia="zh-CN"/>
              </w:rPr>
            </w:pPr>
            <w:r>
              <w:rPr>
                <w:rFonts w:hint="eastAsia" w:eastAsia="宋体"/>
                <w:color w:val="000000"/>
                <w:kern w:val="0"/>
                <w:sz w:val="18"/>
                <w:szCs w:val="18"/>
                <w:lang w:val="en-US" w:eastAsia="zh-CN" w:bidi="ar"/>
              </w:rPr>
              <w:t>31271.33</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eastAsia="宋体"/>
                <w:color w:val="000000"/>
                <w:sz w:val="18"/>
                <w:szCs w:val="18"/>
                <w:lang w:val="en-US" w:eastAsia="zh-CN"/>
              </w:rPr>
            </w:pPr>
            <w:r>
              <w:rPr>
                <w:rFonts w:hint="eastAsia" w:eastAsia="宋体"/>
                <w:color w:val="000000"/>
                <w:kern w:val="0"/>
                <w:sz w:val="18"/>
                <w:szCs w:val="18"/>
                <w:lang w:val="en-US" w:eastAsia="zh-CN" w:bidi="ar"/>
              </w:rPr>
              <w:t>35083.63</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eastAsia="宋体"/>
                <w:color w:val="000000"/>
                <w:sz w:val="18"/>
                <w:szCs w:val="18"/>
                <w:lang w:val="en-US" w:eastAsia="zh-CN"/>
              </w:rPr>
            </w:pPr>
            <w:r>
              <w:rPr>
                <w:rFonts w:hint="eastAsia" w:eastAsia="宋体"/>
                <w:color w:val="000000"/>
                <w:kern w:val="0"/>
                <w:sz w:val="18"/>
                <w:szCs w:val="18"/>
                <w:lang w:val="en-US" w:eastAsia="zh-CN" w:bidi="ar"/>
              </w:rPr>
              <w:t>15235.25</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eastAsia="宋体"/>
                <w:color w:val="000000"/>
                <w:sz w:val="18"/>
                <w:szCs w:val="18"/>
                <w:lang w:val="en-US" w:eastAsia="zh-CN"/>
              </w:rPr>
            </w:pPr>
            <w:r>
              <w:rPr>
                <w:rFonts w:hint="eastAsia" w:eastAsia="宋体"/>
                <w:color w:val="000000"/>
                <w:kern w:val="0"/>
                <w:sz w:val="18"/>
                <w:szCs w:val="18"/>
                <w:lang w:val="en-US" w:eastAsia="zh-CN" w:bidi="ar"/>
              </w:rPr>
              <w:t>19848.38</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eastAsia="宋体"/>
                <w:color w:val="000000"/>
                <w:sz w:val="18"/>
                <w:szCs w:val="18"/>
                <w:lang w:val="en-US" w:eastAsia="zh-CN"/>
              </w:rPr>
            </w:pPr>
            <w:r>
              <w:rPr>
                <w:rFonts w:hint="eastAsia" w:eastAsia="宋体"/>
                <w:color w:val="000000"/>
                <w:kern w:val="0"/>
                <w:sz w:val="18"/>
                <w:szCs w:val="18"/>
                <w:lang w:val="en-US" w:eastAsia="zh-CN" w:bidi="ar"/>
              </w:rPr>
              <w:t>43.43</w:t>
            </w:r>
          </w:p>
        </w:tc>
      </w:tr>
    </w:tbl>
    <w:p>
      <w:pPr>
        <w:pStyle w:val="4"/>
        <w:ind w:firstLine="640"/>
      </w:pPr>
      <w:r>
        <w:t>2.专项资金的实际使用情况</w:t>
      </w:r>
    </w:p>
    <w:p>
      <w:pPr>
        <w:spacing w:line="360" w:lineRule="auto"/>
        <w:ind w:firstLine="640" w:firstLineChars="200"/>
        <w:outlineLvl w:val="3"/>
        <w:rPr>
          <w:sz w:val="32"/>
          <w:szCs w:val="32"/>
        </w:rPr>
      </w:pPr>
      <w:r>
        <w:rPr>
          <w:rFonts w:hint="eastAsia"/>
          <w:sz w:val="32"/>
          <w:szCs w:val="32"/>
        </w:rPr>
        <w:t>（1）老旧小区改造</w:t>
      </w:r>
    </w:p>
    <w:p>
      <w:pPr>
        <w:spacing w:line="360" w:lineRule="auto"/>
        <w:ind w:firstLine="640" w:firstLineChars="200"/>
        <w:rPr>
          <w:sz w:val="32"/>
          <w:szCs w:val="32"/>
        </w:rPr>
      </w:pPr>
      <w:r>
        <w:rPr>
          <w:rFonts w:hint="eastAsia"/>
          <w:sz w:val="32"/>
          <w:szCs w:val="32"/>
        </w:rPr>
        <w:t>老旧小区改造项目上年结转预算3,812.30万元，年中追加预算31,152.05万元，全年预算合计34,964.35万元，实际支出15,115.97万元，结余19,848.38万元，预算执行率为43.23%。资金主要用于辖区内老旧小区及配套基础设施改造。</w:t>
      </w:r>
    </w:p>
    <w:p>
      <w:pPr>
        <w:spacing w:line="360" w:lineRule="auto"/>
        <w:ind w:firstLine="640" w:firstLineChars="200"/>
        <w:outlineLvl w:val="3"/>
        <w:rPr>
          <w:sz w:val="32"/>
          <w:szCs w:val="32"/>
        </w:rPr>
      </w:pPr>
      <w:r>
        <w:rPr>
          <w:rFonts w:hint="eastAsia"/>
          <w:sz w:val="32"/>
          <w:szCs w:val="32"/>
        </w:rPr>
        <w:t>（</w:t>
      </w:r>
      <w:r>
        <w:rPr>
          <w:rFonts w:hint="eastAsia"/>
          <w:sz w:val="32"/>
          <w:szCs w:val="32"/>
          <w:lang w:val="en-US" w:eastAsia="zh-CN"/>
        </w:rPr>
        <w:t>2</w:t>
      </w:r>
      <w:r>
        <w:rPr>
          <w:rFonts w:hint="eastAsia"/>
          <w:sz w:val="32"/>
          <w:szCs w:val="32"/>
        </w:rPr>
        <w:t>）棚户区改造项目</w:t>
      </w:r>
    </w:p>
    <w:p>
      <w:pPr>
        <w:spacing w:line="360" w:lineRule="auto"/>
        <w:ind w:firstLine="640" w:firstLineChars="200"/>
        <w:rPr>
          <w:sz w:val="32"/>
          <w:szCs w:val="32"/>
        </w:rPr>
      </w:pPr>
      <w:r>
        <w:rPr>
          <w:rFonts w:hint="eastAsia"/>
          <w:sz w:val="32"/>
          <w:szCs w:val="32"/>
        </w:rPr>
        <w:t>棚户区改造项目年中追加预算119.28万元，全年预算合计119.28万元，实际支出119.28万元，结余为0，预算执行率为100%。资金主要用于棚户区改造征收和发放安置补贴。</w:t>
      </w:r>
    </w:p>
    <w:p>
      <w:pPr>
        <w:pStyle w:val="4"/>
        <w:ind w:firstLine="640"/>
      </w:pPr>
      <w:r>
        <w:rPr>
          <w:rFonts w:hint="eastAsia"/>
        </w:rPr>
        <w:t>3.项目资金管理情况分析</w:t>
      </w:r>
    </w:p>
    <w:p>
      <w:pPr>
        <w:spacing w:line="360" w:lineRule="auto"/>
        <w:ind w:firstLine="640" w:firstLineChars="200"/>
        <w:rPr>
          <w:sz w:val="32"/>
          <w:szCs w:val="32"/>
        </w:rPr>
      </w:pPr>
      <w:r>
        <w:rPr>
          <w:sz w:val="32"/>
          <w:szCs w:val="32"/>
        </w:rPr>
        <w:t>根据《中华人民共和国政府采购法</w:t>
      </w:r>
      <w:r>
        <w:rPr>
          <w:rFonts w:hint="eastAsia"/>
          <w:sz w:val="32"/>
          <w:szCs w:val="32"/>
        </w:rPr>
        <w:t>》《</w:t>
      </w:r>
      <w:r>
        <w:rPr>
          <w:sz w:val="32"/>
          <w:szCs w:val="32"/>
        </w:rPr>
        <w:t>中华人民共和国招投标法</w:t>
      </w:r>
      <w:r>
        <w:rPr>
          <w:rFonts w:hint="eastAsia"/>
          <w:sz w:val="32"/>
          <w:szCs w:val="32"/>
        </w:rPr>
        <w:t>》《</w:t>
      </w:r>
      <w:r>
        <w:rPr>
          <w:sz w:val="32"/>
          <w:szCs w:val="32"/>
        </w:rPr>
        <w:t>中华人民共和国预算法》等法律法规，</w:t>
      </w:r>
      <w:r>
        <w:rPr>
          <w:rFonts w:hint="eastAsia"/>
          <w:sz w:val="32"/>
          <w:szCs w:val="32"/>
        </w:rPr>
        <w:t>我局</w:t>
      </w:r>
      <w:r>
        <w:rPr>
          <w:sz w:val="32"/>
          <w:szCs w:val="32"/>
        </w:rPr>
        <w:t>制定了《财务管理制度》</w:t>
      </w:r>
      <w:r>
        <w:rPr>
          <w:rFonts w:hint="eastAsia"/>
          <w:sz w:val="32"/>
          <w:szCs w:val="32"/>
        </w:rPr>
        <w:t>和《长沙市开福区城镇保障性安居工程（棚户区改造专项资金管理办法）》，部分专项资金按照上级单位制度执行，如《长沙市城镇老旧小区改造暨微改造专项资金资金管理暂行办法》。</w:t>
      </w:r>
      <w:r>
        <w:rPr>
          <w:sz w:val="32"/>
          <w:szCs w:val="32"/>
        </w:rPr>
        <w:t>项目的实施必须接受财务审计监察部门的监督。专项资金按照财政相关文件要求，合理制定财务预算，安排每月用款计划。在实际支出中，认真核算支出类型，控制支出比例。</w:t>
      </w:r>
      <w:bookmarkStart w:id="0" w:name="_GoBack"/>
      <w:bookmarkEnd w:id="0"/>
    </w:p>
    <w:p>
      <w:pPr>
        <w:pStyle w:val="2"/>
        <w:ind w:firstLine="643"/>
      </w:pPr>
      <w:r>
        <w:rPr>
          <w:rFonts w:hint="eastAsia"/>
        </w:rPr>
        <w:t>三、政府性基金预算支出情况</w:t>
      </w:r>
    </w:p>
    <w:p>
      <w:pPr>
        <w:spacing w:line="360" w:lineRule="auto"/>
        <w:ind w:firstLine="640" w:firstLineChars="200"/>
        <w:rPr>
          <w:rFonts w:hint="eastAsia" w:eastAsia="仿宋_GB2312"/>
          <w:sz w:val="32"/>
          <w:szCs w:val="32"/>
          <w:lang w:val="en-US" w:eastAsia="zh-CN"/>
        </w:rPr>
      </w:pPr>
      <w:r>
        <w:rPr>
          <w:rFonts w:hint="eastAsia"/>
          <w:sz w:val="32"/>
          <w:szCs w:val="32"/>
          <w:lang w:val="en-US" w:eastAsia="zh-CN"/>
        </w:rPr>
        <w:t>无。</w:t>
      </w:r>
    </w:p>
    <w:p>
      <w:pPr>
        <w:pStyle w:val="2"/>
        <w:ind w:firstLine="643"/>
        <w:rPr>
          <w:rFonts w:hint="eastAsia" w:ascii="Times New Roman" w:hAnsi="Times New Roman" w:cs="Times New Roman"/>
        </w:rPr>
      </w:pPr>
      <w:r>
        <w:rPr>
          <w:rFonts w:hint="eastAsia" w:ascii="Times New Roman" w:hAnsi="Times New Roman" w:cs="Times New Roman"/>
          <w:lang w:val="en-US" w:eastAsia="zh-CN"/>
        </w:rPr>
        <w:t>四、</w:t>
      </w:r>
      <w:r>
        <w:rPr>
          <w:rFonts w:hint="eastAsia" w:ascii="Times New Roman" w:hAnsi="Times New Roman" w:cs="Times New Roman"/>
        </w:rPr>
        <w:t>国有资本经营预算支出情况</w:t>
      </w:r>
    </w:p>
    <w:p>
      <w:pPr>
        <w:spacing w:line="360" w:lineRule="auto"/>
        <w:ind w:firstLine="640" w:firstLineChars="200"/>
        <w:rPr>
          <w:rFonts w:hint="eastAsia" w:eastAsia="仿宋_GB2312"/>
          <w:sz w:val="32"/>
          <w:szCs w:val="32"/>
          <w:lang w:val="en-US" w:eastAsia="zh-CN"/>
        </w:rPr>
      </w:pPr>
      <w:r>
        <w:rPr>
          <w:rFonts w:hint="eastAsia"/>
          <w:sz w:val="32"/>
          <w:szCs w:val="32"/>
          <w:lang w:val="en-US" w:eastAsia="zh-CN"/>
        </w:rPr>
        <w:t>无。</w:t>
      </w:r>
    </w:p>
    <w:p>
      <w:pPr>
        <w:pStyle w:val="2"/>
        <w:ind w:firstLine="643"/>
        <w:rPr>
          <w:rFonts w:hint="eastAsia" w:ascii="Times New Roman" w:hAnsi="Times New Roman" w:cs="Times New Roman"/>
          <w:lang w:val="en-US" w:eastAsia="zh-CN"/>
        </w:rPr>
      </w:pPr>
      <w:r>
        <w:rPr>
          <w:rFonts w:hint="eastAsia" w:ascii="Times New Roman" w:hAnsi="Times New Roman" w:cs="Times New Roman"/>
          <w:lang w:val="en-US" w:eastAsia="zh-CN"/>
        </w:rPr>
        <w:t>五、社会保险基金预算支出情况</w:t>
      </w:r>
    </w:p>
    <w:p>
      <w:pPr>
        <w:spacing w:line="360" w:lineRule="auto"/>
        <w:ind w:firstLine="640" w:firstLineChars="200"/>
        <w:rPr>
          <w:rFonts w:hint="eastAsia" w:eastAsia="仿宋_GB2312"/>
          <w:sz w:val="32"/>
          <w:szCs w:val="32"/>
          <w:lang w:val="en-US" w:eastAsia="zh-CN"/>
        </w:rPr>
      </w:pPr>
      <w:r>
        <w:rPr>
          <w:rFonts w:hint="eastAsia"/>
          <w:sz w:val="32"/>
          <w:szCs w:val="32"/>
          <w:lang w:val="en-US" w:eastAsia="zh-CN"/>
        </w:rPr>
        <w:t>无。</w:t>
      </w:r>
    </w:p>
    <w:p>
      <w:pPr>
        <w:pStyle w:val="2"/>
        <w:ind w:firstLine="643"/>
      </w:pPr>
      <w:r>
        <w:rPr>
          <w:rFonts w:hint="eastAsia"/>
          <w:lang w:val="en-US" w:eastAsia="zh-CN"/>
        </w:rPr>
        <w:t>六</w:t>
      </w:r>
      <w:r>
        <w:rPr>
          <w:rFonts w:hint="eastAsia"/>
        </w:rPr>
        <w:t>、</w:t>
      </w:r>
      <w:r>
        <w:rPr>
          <w:rFonts w:hint="eastAsia"/>
          <w:lang w:eastAsia="zh-CN"/>
        </w:rPr>
        <w:t>重点项目</w:t>
      </w:r>
      <w:r>
        <w:t>支出绩效情况</w:t>
      </w:r>
    </w:p>
    <w:p>
      <w:pPr>
        <w:spacing w:line="360" w:lineRule="auto"/>
        <w:ind w:firstLine="640" w:firstLineChars="200"/>
        <w:rPr>
          <w:rFonts w:hint="eastAsia"/>
          <w:b w:val="0"/>
          <w:bCs w:val="0"/>
          <w:sz w:val="32"/>
          <w:szCs w:val="32"/>
          <w:lang w:val="en-US" w:eastAsia="zh-CN"/>
        </w:rPr>
      </w:pPr>
      <w:r>
        <w:rPr>
          <w:rFonts w:hint="eastAsia"/>
          <w:b w:val="0"/>
          <w:bCs w:val="0"/>
          <w:sz w:val="32"/>
          <w:szCs w:val="32"/>
          <w:lang w:val="en-US" w:eastAsia="zh-CN"/>
        </w:rPr>
        <w:t>（一）完成了2021年30个老旧小区改造项目，以及补调的2019年10个项目施工。2022年涉改小区118个小区，涉及房屋919栋，居民33601户，建筑面积约271.87万平方米，全部开工建设，其中75个民生实事项目工程进度达55%。区属20栋危房改造任务全部开工，全力解决群众的居住安全隐患。2022年涉改118个老旧小区中共加装电梯85台。对2019—2022年实施改造的142个老旧小区改造项目燃气管道进行梳理，整理成16个项目，争取中央预算内保障性安居工程资金8904万，采取区企合作、统筹推进方式，实施老旧燃气管网改造，有效解决了燃气等老旧管网年久失修问题，确保老旧小区用气安全。</w:t>
      </w:r>
    </w:p>
    <w:p>
      <w:pPr>
        <w:spacing w:line="360" w:lineRule="auto"/>
        <w:ind w:firstLine="640" w:firstLineChars="200"/>
        <w:rPr>
          <w:rFonts w:hint="eastAsia"/>
          <w:b w:val="0"/>
          <w:bCs w:val="0"/>
          <w:sz w:val="32"/>
          <w:szCs w:val="32"/>
          <w:lang w:val="en-US" w:eastAsia="zh-CN"/>
        </w:rPr>
      </w:pPr>
      <w:r>
        <w:rPr>
          <w:rFonts w:hint="eastAsia"/>
          <w:b w:val="0"/>
          <w:bCs w:val="0"/>
          <w:sz w:val="32"/>
          <w:szCs w:val="32"/>
          <w:lang w:val="en-US" w:eastAsia="zh-CN"/>
        </w:rPr>
        <w:t>（二）本年度提前完成110户棚改任务，改造面积1.3万㎡；办理并发放棚户区改造安置补贴150户；稳步推进市级统筹棚改项目四项任务，牵头指导植基等4个社区开展城中村改造。推进华夏路、陡岭支路城市更新项目；完成2021年6个历史建筑修缮项目，让老建筑“旧貌换新颜”；结合“百街千巷”行动，完成10个微改造项目，实现路平、水畅、灯亮、景绿；启动铁路沿线人居环境整治项目5个，全力打造京广铁路沿线靓丽风景。</w:t>
      </w:r>
    </w:p>
    <w:p>
      <w:pPr>
        <w:pStyle w:val="2"/>
        <w:ind w:firstLine="643"/>
      </w:pPr>
      <w:r>
        <w:rPr>
          <w:rFonts w:hint="eastAsia"/>
          <w:lang w:val="en-US" w:eastAsia="zh-CN"/>
        </w:rPr>
        <w:t>七</w:t>
      </w:r>
      <w:r>
        <w:rPr>
          <w:rFonts w:hint="eastAsia"/>
        </w:rPr>
        <w:t>、存在的问题及原因分析</w:t>
      </w:r>
    </w:p>
    <w:p>
      <w:pPr>
        <w:spacing w:line="360" w:lineRule="auto"/>
        <w:ind w:firstLine="640" w:firstLineChars="200"/>
        <w:rPr>
          <w:sz w:val="32"/>
          <w:szCs w:val="32"/>
        </w:rPr>
      </w:pPr>
      <w:r>
        <w:rPr>
          <w:rFonts w:hint="eastAsia"/>
          <w:sz w:val="32"/>
          <w:szCs w:val="32"/>
        </w:rPr>
        <w:t>一是整体预算执行率偏低。主要原因系部分2023年下达的预算指标计入2022年全年预算。如2022年第一批城镇老旧小区改造项目剩余资金（长财资环指〔2022〕0084号）2,780.80万元于2023年1月5日下达；2022年第三批保障性安居工程中央预算内基建资金（长财建指〔2022〕0100号）8,903.50万元于2023年2月7日下达。</w:t>
      </w:r>
    </w:p>
    <w:p>
      <w:pPr>
        <w:spacing w:line="360" w:lineRule="auto"/>
        <w:ind w:firstLine="640" w:firstLineChars="200"/>
        <w:rPr>
          <w:sz w:val="32"/>
          <w:szCs w:val="32"/>
        </w:rPr>
      </w:pPr>
      <w:r>
        <w:rPr>
          <w:rFonts w:hint="eastAsia"/>
          <w:sz w:val="32"/>
          <w:szCs w:val="32"/>
        </w:rPr>
        <w:t>二是预算追加幅度较大。主要原因系预算编制原则要求将部门和单位的各项收入及支出都纳入综合财政预算。在实际中，向上级争取的项目资金，年初预算编制时段暂无法知晓上级经费具体数额，难以充分考虑。</w:t>
      </w:r>
    </w:p>
    <w:p>
      <w:pPr>
        <w:pStyle w:val="2"/>
        <w:ind w:firstLine="643"/>
      </w:pPr>
      <w:r>
        <w:rPr>
          <w:rFonts w:hint="eastAsia"/>
          <w:lang w:val="en-US" w:eastAsia="zh-CN"/>
        </w:rPr>
        <w:t>八</w:t>
      </w:r>
      <w:r>
        <w:rPr>
          <w:rFonts w:hint="eastAsia"/>
        </w:rPr>
        <w:t>、下一步改进措施</w:t>
      </w:r>
    </w:p>
    <w:p>
      <w:pPr>
        <w:pStyle w:val="3"/>
        <w:ind w:firstLine="643"/>
      </w:pPr>
      <w:r>
        <w:rPr>
          <w:rFonts w:hint="eastAsia"/>
        </w:rPr>
        <w:t>（一）加强项目管理、推进预算执行进度</w:t>
      </w:r>
    </w:p>
    <w:p>
      <w:pPr>
        <w:spacing w:line="360" w:lineRule="auto"/>
        <w:ind w:firstLine="640" w:firstLineChars="200"/>
        <w:rPr>
          <w:sz w:val="32"/>
          <w:szCs w:val="32"/>
        </w:rPr>
      </w:pPr>
      <w:r>
        <w:rPr>
          <w:sz w:val="32"/>
          <w:szCs w:val="32"/>
        </w:rPr>
        <w:t>加强项目建设管理，认真做好项目规划，</w:t>
      </w:r>
      <w:r>
        <w:rPr>
          <w:rFonts w:hint="eastAsia"/>
          <w:sz w:val="32"/>
          <w:szCs w:val="32"/>
        </w:rPr>
        <w:t>完善项目资金使用计划。</w:t>
      </w:r>
      <w:r>
        <w:rPr>
          <w:sz w:val="32"/>
          <w:szCs w:val="32"/>
        </w:rPr>
        <w:t>根据</w:t>
      </w:r>
      <w:r>
        <w:rPr>
          <w:rFonts w:hint="eastAsia"/>
          <w:sz w:val="32"/>
          <w:szCs w:val="32"/>
        </w:rPr>
        <w:t>项目规划</w:t>
      </w:r>
      <w:r>
        <w:rPr>
          <w:sz w:val="32"/>
          <w:szCs w:val="32"/>
        </w:rPr>
        <w:t>做好前期准备</w:t>
      </w:r>
      <w:r>
        <w:rPr>
          <w:rFonts w:hint="eastAsia"/>
          <w:sz w:val="32"/>
          <w:szCs w:val="32"/>
        </w:rPr>
        <w:t>，加快项目实施进度，确保财政资金尽早尽快落地，形成实物工作量。</w:t>
      </w:r>
    </w:p>
    <w:p>
      <w:pPr>
        <w:pStyle w:val="3"/>
        <w:ind w:firstLine="643"/>
        <w:rPr>
          <w:rFonts w:hint="eastAsia" w:cs="Times New Roman"/>
        </w:rPr>
      </w:pPr>
      <w:r>
        <w:rPr>
          <w:rFonts w:hint="eastAsia" w:cs="Times New Roman"/>
        </w:rPr>
        <w:t>（二）提升预算编制质量</w:t>
      </w:r>
    </w:p>
    <w:p>
      <w:pPr>
        <w:spacing w:line="360" w:lineRule="auto"/>
        <w:ind w:firstLine="640" w:firstLineChars="200"/>
        <w:rPr>
          <w:sz w:val="32"/>
          <w:szCs w:val="32"/>
        </w:rPr>
      </w:pPr>
      <w:r>
        <w:rPr>
          <w:sz w:val="32"/>
          <w:szCs w:val="32"/>
        </w:rPr>
        <w:t>加强预算编制的基础工作，遵循预算管理办法，根据</w:t>
      </w:r>
      <w:r>
        <w:rPr>
          <w:rFonts w:hint="eastAsia"/>
          <w:sz w:val="32"/>
          <w:szCs w:val="32"/>
        </w:rPr>
        <w:t>我局</w:t>
      </w:r>
      <w:r>
        <w:rPr>
          <w:sz w:val="32"/>
          <w:szCs w:val="32"/>
        </w:rPr>
        <w:t>实际情况并结合以前年度支出情况，综合考虑相关因素，申报年初预算，提高单位预算编制水平。</w:t>
      </w:r>
    </w:p>
    <w:p>
      <w:pPr>
        <w:pStyle w:val="2"/>
        <w:ind w:firstLine="643"/>
      </w:pPr>
      <w:r>
        <w:rPr>
          <w:rFonts w:hint="eastAsia"/>
          <w:lang w:val="en-US" w:eastAsia="zh-CN"/>
        </w:rPr>
        <w:t>九</w:t>
      </w:r>
      <w:r>
        <w:rPr>
          <w:rFonts w:hint="eastAsia"/>
        </w:rPr>
        <w:t>、绩效自评结果拟应用和公开情况</w:t>
      </w:r>
    </w:p>
    <w:p>
      <w:pPr>
        <w:spacing w:line="360" w:lineRule="auto"/>
        <w:ind w:firstLine="640" w:firstLineChars="200"/>
        <w:rPr>
          <w:sz w:val="32"/>
          <w:szCs w:val="32"/>
        </w:rPr>
      </w:pPr>
      <w:r>
        <w:rPr>
          <w:sz w:val="32"/>
          <w:szCs w:val="32"/>
        </w:rPr>
        <w:t>通过绩效自评的开展提高各</w:t>
      </w:r>
      <w:r>
        <w:rPr>
          <w:rFonts w:hint="eastAsia"/>
          <w:sz w:val="32"/>
          <w:szCs w:val="32"/>
        </w:rPr>
        <w:t>科室</w:t>
      </w:r>
      <w:r>
        <w:rPr>
          <w:sz w:val="32"/>
          <w:szCs w:val="32"/>
        </w:rPr>
        <w:t>人员的绩效意识，对存在的问题提请各</w:t>
      </w:r>
      <w:r>
        <w:rPr>
          <w:rFonts w:hint="eastAsia"/>
          <w:sz w:val="32"/>
          <w:szCs w:val="32"/>
        </w:rPr>
        <w:t>科室</w:t>
      </w:r>
      <w:r>
        <w:rPr>
          <w:sz w:val="32"/>
          <w:szCs w:val="32"/>
        </w:rPr>
        <w:t>人员加以改进，巩固绩效成果。同时拟将绩效自评报告在</w:t>
      </w:r>
      <w:r>
        <w:rPr>
          <w:rFonts w:hint="eastAsia"/>
          <w:sz w:val="32"/>
          <w:szCs w:val="32"/>
        </w:rPr>
        <w:t>开福区政府</w:t>
      </w:r>
      <w:r>
        <w:rPr>
          <w:sz w:val="32"/>
          <w:szCs w:val="32"/>
        </w:rPr>
        <w:t>网站上进行公示。做好项目实际绩效信息的收集机制、绩效责任落实机制、绩效反馈机制、评价结果的公开机制、通申诉机制等方面的配套，规范信息公开制度、激励约束机制和沟通复议机制等等，保证绩效评价结果的有效落实和运用。</w:t>
      </w:r>
    </w:p>
    <w:p>
      <w:pPr>
        <w:spacing w:line="360" w:lineRule="auto"/>
        <w:ind w:firstLine="640" w:firstLineChars="200"/>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1" w:fontKey="{5FD5EB00-4F48-429E-BEC7-883DE4B84B17}"/>
  </w:font>
  <w:font w:name="楷体_GB2312">
    <w:panose1 w:val="02010609030101010101"/>
    <w:charset w:val="86"/>
    <w:family w:val="auto"/>
    <w:pitch w:val="default"/>
    <w:sig w:usb0="00000001" w:usb1="080E0000" w:usb2="00000000" w:usb3="00000000" w:csb0="00040000" w:csb1="00000000"/>
    <w:embedRegular r:id="rId2" w:fontKey="{877D89B4-8B1A-43EA-8C4B-F3AF53D1ED7C}"/>
  </w:font>
  <w:font w:name="方正小标宋简体">
    <w:panose1 w:val="03000509000000000000"/>
    <w:charset w:val="86"/>
    <w:family w:val="auto"/>
    <w:pitch w:val="default"/>
    <w:sig w:usb0="00000001" w:usb1="080E0000" w:usb2="00000000" w:usb3="00000000" w:csb0="00040000" w:csb1="00000000"/>
    <w:embedRegular r:id="rId3" w:fontKey="{FA7FF987-A1B7-45A8-AC8B-A3EF85542343}"/>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yYzYxOWI2ZGI1YmJjMDRhMDhiZDExZjA4YzBlNmUifQ=="/>
  </w:docVars>
  <w:rsids>
    <w:rsidRoot w:val="42E04E91"/>
    <w:rsid w:val="00173231"/>
    <w:rsid w:val="001C36DB"/>
    <w:rsid w:val="002809A1"/>
    <w:rsid w:val="002E15E2"/>
    <w:rsid w:val="00B813BE"/>
    <w:rsid w:val="00E57464"/>
    <w:rsid w:val="019E26E3"/>
    <w:rsid w:val="029415CA"/>
    <w:rsid w:val="02FD4CAD"/>
    <w:rsid w:val="032D4FC8"/>
    <w:rsid w:val="03B47F3B"/>
    <w:rsid w:val="059565ED"/>
    <w:rsid w:val="05A625A8"/>
    <w:rsid w:val="0635229A"/>
    <w:rsid w:val="0A577BBA"/>
    <w:rsid w:val="0B112392"/>
    <w:rsid w:val="0BB21CA6"/>
    <w:rsid w:val="0DDD7E5B"/>
    <w:rsid w:val="0E6A6868"/>
    <w:rsid w:val="13632822"/>
    <w:rsid w:val="16293958"/>
    <w:rsid w:val="16B4215D"/>
    <w:rsid w:val="190A6324"/>
    <w:rsid w:val="198D2276"/>
    <w:rsid w:val="1A7E1F9E"/>
    <w:rsid w:val="1A88547F"/>
    <w:rsid w:val="21333432"/>
    <w:rsid w:val="22606001"/>
    <w:rsid w:val="23A278BE"/>
    <w:rsid w:val="27280A88"/>
    <w:rsid w:val="2CC8244E"/>
    <w:rsid w:val="315C6A03"/>
    <w:rsid w:val="31EE13DB"/>
    <w:rsid w:val="32D103B5"/>
    <w:rsid w:val="36315173"/>
    <w:rsid w:val="363C0FEC"/>
    <w:rsid w:val="36555872"/>
    <w:rsid w:val="37DD25FC"/>
    <w:rsid w:val="39925C75"/>
    <w:rsid w:val="3C1B6FEC"/>
    <w:rsid w:val="3CF43430"/>
    <w:rsid w:val="411C55C7"/>
    <w:rsid w:val="42E04E91"/>
    <w:rsid w:val="47E25F2F"/>
    <w:rsid w:val="48174F99"/>
    <w:rsid w:val="484840BD"/>
    <w:rsid w:val="48754DEA"/>
    <w:rsid w:val="493F7F3F"/>
    <w:rsid w:val="495A4E1C"/>
    <w:rsid w:val="4B601925"/>
    <w:rsid w:val="4D020E66"/>
    <w:rsid w:val="4D526247"/>
    <w:rsid w:val="4E7D4A20"/>
    <w:rsid w:val="50E0418D"/>
    <w:rsid w:val="530B0529"/>
    <w:rsid w:val="53112A40"/>
    <w:rsid w:val="56861332"/>
    <w:rsid w:val="574F7F73"/>
    <w:rsid w:val="59DF45AE"/>
    <w:rsid w:val="608D0215"/>
    <w:rsid w:val="61C53F19"/>
    <w:rsid w:val="61D04B4B"/>
    <w:rsid w:val="65A96D1E"/>
    <w:rsid w:val="68A73507"/>
    <w:rsid w:val="69BA64B3"/>
    <w:rsid w:val="6BC634DA"/>
    <w:rsid w:val="6BD4557B"/>
    <w:rsid w:val="6DC806AC"/>
    <w:rsid w:val="6EEA74D2"/>
    <w:rsid w:val="74343D24"/>
    <w:rsid w:val="74B279C2"/>
    <w:rsid w:val="74B86E6E"/>
    <w:rsid w:val="76C97208"/>
    <w:rsid w:val="77981E3E"/>
    <w:rsid w:val="7C0D1A2A"/>
    <w:rsid w:val="7DF41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8"/>
      <w:lang w:val="en-US" w:eastAsia="zh-CN" w:bidi="ar-SA"/>
    </w:rPr>
  </w:style>
  <w:style w:type="paragraph" w:styleId="2">
    <w:name w:val="heading 1"/>
    <w:basedOn w:val="1"/>
    <w:next w:val="1"/>
    <w:qFormat/>
    <w:uiPriority w:val="0"/>
    <w:pPr>
      <w:keepNext/>
      <w:keepLines/>
      <w:spacing w:line="360" w:lineRule="auto"/>
      <w:ind w:firstLine="560" w:firstLineChars="200"/>
      <w:outlineLvl w:val="0"/>
    </w:pPr>
    <w:rPr>
      <w:rFonts w:eastAsia="黑体"/>
      <w:b/>
      <w:kern w:val="44"/>
      <w:sz w:val="32"/>
    </w:rPr>
  </w:style>
  <w:style w:type="paragraph" w:styleId="3">
    <w:name w:val="heading 2"/>
    <w:basedOn w:val="1"/>
    <w:next w:val="1"/>
    <w:unhideWhenUsed/>
    <w:qFormat/>
    <w:uiPriority w:val="0"/>
    <w:pPr>
      <w:keepNext/>
      <w:keepLines/>
      <w:spacing w:line="360" w:lineRule="auto"/>
      <w:ind w:firstLine="560" w:firstLineChars="200"/>
      <w:outlineLvl w:val="1"/>
    </w:pPr>
    <w:rPr>
      <w:rFonts w:ascii="Arial" w:hAnsi="Arial" w:eastAsia="楷体_GB2312"/>
      <w:b/>
      <w:sz w:val="32"/>
    </w:rPr>
  </w:style>
  <w:style w:type="paragraph" w:styleId="4">
    <w:name w:val="heading 3"/>
    <w:basedOn w:val="1"/>
    <w:next w:val="1"/>
    <w:unhideWhenUsed/>
    <w:qFormat/>
    <w:uiPriority w:val="0"/>
    <w:pPr>
      <w:keepNext/>
      <w:keepLines/>
      <w:spacing w:line="360" w:lineRule="auto"/>
      <w:ind w:firstLine="560" w:firstLineChars="200"/>
      <w:outlineLvl w:val="2"/>
    </w:pPr>
    <w:rPr>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7</Pages>
  <Words>2432</Words>
  <Characters>2795</Characters>
  <Lines>49</Lines>
  <Paragraphs>13</Paragraphs>
  <TotalTime>38</TotalTime>
  <ScaleCrop>false</ScaleCrop>
  <LinksUpToDate>false</LinksUpToDate>
  <CharactersWithSpaces>2795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2023-04-19T06:35:00Z</dcterms:created>
  <dc:creator>周小黔</dc:creator>
  <cp:lastModifiedBy>媛媛</cp:lastModifiedBy>
  <dcterms:modified xsi:type="dcterms:W3CDTF">2023-10-11T08:25:02Z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6CAE93DBBB264009BF6389D80438E684_11</vt:lpwstr>
  </property>
</Properties>
</file>